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spacing w:line="360" w:lineRule="auto"/>
        <w:jc w:val="center"/>
        <w:outlineLvl w:val="0"/>
        <w:rPr>
          <w:rFonts w:ascii="仿宋" w:hAnsi="仿宋" w:eastAsia="仿宋"/>
          <w:b/>
          <w:color w:val="auto"/>
          <w:sz w:val="44"/>
          <w:szCs w:val="44"/>
        </w:rPr>
      </w:pPr>
      <w:bookmarkStart w:id="0" w:name="_Toc217891359"/>
      <w:bookmarkStart w:id="1" w:name="_Toc212526081"/>
      <w:bookmarkStart w:id="2" w:name="_Toc227058483"/>
      <w:bookmarkStart w:id="3" w:name="_Toc266868624"/>
      <w:bookmarkStart w:id="4" w:name="_Toc251613780"/>
      <w:bookmarkStart w:id="5" w:name="_Toc211937196"/>
      <w:bookmarkStart w:id="6" w:name="_Toc267059899"/>
      <w:bookmarkStart w:id="7" w:name="_Toc267059010"/>
      <w:bookmarkStart w:id="8" w:name="_Toc251586187"/>
      <w:bookmarkStart w:id="9" w:name="_Toc267059161"/>
      <w:bookmarkStart w:id="10" w:name="_Toc212530253"/>
      <w:bookmarkStart w:id="11" w:name="_Toc216241307"/>
      <w:bookmarkStart w:id="12" w:name="_Toc219800200"/>
      <w:bookmarkStart w:id="13" w:name="_Toc235437942"/>
      <w:bookmarkStart w:id="14" w:name="_Toc236021402"/>
      <w:bookmarkStart w:id="15" w:name="_Toc267059633"/>
      <w:bookmarkStart w:id="16" w:name="_Toc267059519"/>
      <w:bookmarkStart w:id="17" w:name="_Toc249325665"/>
      <w:bookmarkStart w:id="18" w:name="_Toc259692600"/>
      <w:bookmarkStart w:id="19" w:name="_Toc177985424"/>
      <w:bookmarkStart w:id="20" w:name="_Toc267060407"/>
      <w:bookmarkStart w:id="21" w:name="_Toc266870386"/>
      <w:bookmarkStart w:id="22" w:name="_Toc212454753"/>
      <w:bookmarkStart w:id="23" w:name="_Toc223146565"/>
      <w:bookmarkStart w:id="24" w:name="_Toc267059786"/>
      <w:bookmarkStart w:id="25" w:name="_Toc235438297"/>
      <w:bookmarkStart w:id="26" w:name="_Toc160880487"/>
      <w:bookmarkStart w:id="27" w:name="_Toc273178686"/>
      <w:bookmarkStart w:id="28" w:name="_Toc225669277"/>
      <w:bookmarkStart w:id="29" w:name="_Toc267060022"/>
      <w:bookmarkStart w:id="30" w:name="_Toc253066567"/>
      <w:bookmarkStart w:id="31" w:name="_Toc266870861"/>
      <w:bookmarkStart w:id="32" w:name="_Toc170798743"/>
      <w:bookmarkStart w:id="33" w:name="_Toc207014580"/>
      <w:bookmarkStart w:id="34" w:name="_Toc267060162"/>
      <w:bookmarkStart w:id="35" w:name="_Toc235438227"/>
      <w:bookmarkStart w:id="36" w:name="_Toc169332904"/>
      <w:bookmarkStart w:id="37" w:name="_Toc259520819"/>
      <w:bookmarkStart w:id="38" w:name="_Toc258401210"/>
      <w:bookmarkStart w:id="39" w:name="_Toc255974963"/>
      <w:bookmarkStart w:id="40" w:name="_Toc254790852"/>
      <w:bookmarkStart w:id="41" w:name="_Toc259692693"/>
      <w:bookmarkStart w:id="42" w:name="_Toc266868924"/>
      <w:bookmarkStart w:id="43" w:name="_Toc169332794"/>
      <w:bookmarkStart w:id="44" w:name="_Toc212456146"/>
      <w:bookmarkStart w:id="45" w:name="OLE_LINK1"/>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ascii="仿宋" w:hAnsi="仿宋" w:eastAsia="仿宋"/>
          <w:color w:val="000000"/>
          <w:sz w:val="24"/>
          <w:szCs w:val="24"/>
        </w:rPr>
      </w:pPr>
      <w:bookmarkStart w:id="46" w:name="_Hlk10840310"/>
      <w:r>
        <w:rPr>
          <w:rFonts w:hint="eastAsia" w:ascii="仿宋" w:hAnsi="仿宋" w:eastAsia="仿宋"/>
          <w:color w:val="000000"/>
          <w:sz w:val="24"/>
          <w:szCs w:val="24"/>
          <w:lang w:eastAsia="zh-CN"/>
        </w:rPr>
        <w:t>郑</w:t>
      </w:r>
      <w:r>
        <w:rPr>
          <w:rFonts w:hint="eastAsia" w:ascii="仿宋" w:hAnsi="仿宋" w:eastAsia="仿宋"/>
          <w:color w:val="000000"/>
          <w:sz w:val="24"/>
          <w:szCs w:val="24"/>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万平方米。根据需要，对</w:t>
      </w:r>
      <w:r>
        <w:rPr>
          <w:rFonts w:hint="eastAsia" w:ascii="仿宋" w:hAnsi="仿宋" w:eastAsia="仿宋"/>
          <w:color w:val="000000"/>
          <w:sz w:val="24"/>
          <w:szCs w:val="24"/>
          <w:lang w:eastAsia="zh-CN"/>
        </w:rPr>
        <w:t>郑州城轨交通中等专业</w:t>
      </w:r>
      <w:r>
        <w:rPr>
          <w:rFonts w:hint="eastAsia" w:ascii="仿宋" w:hAnsi="仿宋" w:eastAsia="仿宋"/>
          <w:color w:val="000000"/>
          <w:sz w:val="24"/>
          <w:szCs w:val="24"/>
        </w:rPr>
        <w:t>学校</w:t>
      </w:r>
      <w:r>
        <w:rPr>
          <w:rFonts w:hint="eastAsia" w:ascii="仿宋" w:hAnsi="仿宋" w:eastAsia="仿宋"/>
          <w:color w:val="000000"/>
          <w:sz w:val="24"/>
          <w:szCs w:val="24"/>
          <w:lang w:eastAsia="zh-CN"/>
        </w:rPr>
        <w:t>关于行李箱采购项目</w:t>
      </w:r>
      <w:r>
        <w:rPr>
          <w:rFonts w:hint="eastAsia" w:ascii="仿宋" w:hAnsi="仿宋" w:eastAsia="仿宋"/>
          <w:color w:val="000000"/>
          <w:sz w:val="24"/>
          <w:szCs w:val="24"/>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ind w:left="639" w:leftChars="0" w:firstLineChars="0"/>
        <w:rPr>
          <w:rFonts w:ascii="仿宋" w:hAnsi="仿宋" w:eastAsia="仿宋"/>
          <w:sz w:val="24"/>
          <w:szCs w:val="24"/>
        </w:rPr>
      </w:pPr>
      <w:r>
        <w:rPr>
          <w:rFonts w:hint="eastAsia" w:ascii="仿宋" w:hAnsi="仿宋" w:eastAsia="仿宋"/>
          <w:sz w:val="24"/>
          <w:szCs w:val="24"/>
        </w:rPr>
        <w:t>项目编号：</w:t>
      </w:r>
      <w:r>
        <w:rPr>
          <w:rFonts w:hint="eastAsia" w:ascii="仿宋" w:hAnsi="仿宋" w:eastAsia="仿宋"/>
          <w:color w:val="auto"/>
          <w:sz w:val="24"/>
          <w:szCs w:val="24"/>
          <w:highlight w:val="none"/>
          <w:lang w:eastAsia="zh-CN"/>
        </w:rPr>
        <w:t>ZZCG202</w:t>
      </w:r>
      <w:r>
        <w:rPr>
          <w:rFonts w:hint="eastAsia" w:ascii="仿宋" w:hAnsi="仿宋" w:eastAsia="仿宋"/>
          <w:color w:val="auto"/>
          <w:sz w:val="24"/>
          <w:szCs w:val="24"/>
          <w:highlight w:val="none"/>
          <w:lang w:val="en-US" w:eastAsia="zh-CN"/>
        </w:rPr>
        <w:t>6010702</w:t>
      </w:r>
    </w:p>
    <w:p>
      <w:pPr>
        <w:widowControl w:val="0"/>
        <w:numPr>
          <w:ilvl w:val="1"/>
          <w:numId w:val="1"/>
        </w:numPr>
        <w:spacing w:after="0" w:line="500" w:lineRule="exact"/>
        <w:ind w:left="639" w:leftChars="0" w:firstLineChars="0"/>
        <w:rPr>
          <w:rFonts w:ascii="仿宋" w:hAnsi="仿宋" w:eastAsia="仿宋"/>
          <w:sz w:val="24"/>
          <w:szCs w:val="24"/>
        </w:rPr>
      </w:pPr>
      <w:r>
        <w:rPr>
          <w:rFonts w:hint="eastAsia" w:ascii="仿宋" w:hAnsi="仿宋" w:eastAsia="仿宋"/>
          <w:sz w:val="24"/>
          <w:szCs w:val="24"/>
        </w:rPr>
        <w:t>项目名称：</w:t>
      </w:r>
      <w:r>
        <w:rPr>
          <w:rFonts w:hint="eastAsia" w:ascii="仿宋" w:hAnsi="仿宋" w:eastAsia="仿宋"/>
          <w:sz w:val="24"/>
          <w:szCs w:val="24"/>
          <w:lang w:eastAsia="zh-CN"/>
        </w:rPr>
        <w:t>郑州城轨交通中等专业学校关于行李箱采购项目</w:t>
      </w:r>
    </w:p>
    <w:p>
      <w:pPr>
        <w:widowControl w:val="0"/>
        <w:numPr>
          <w:ilvl w:val="1"/>
          <w:numId w:val="1"/>
        </w:numPr>
        <w:spacing w:after="0" w:line="500" w:lineRule="exact"/>
        <w:ind w:left="639" w:leftChars="0" w:firstLineChars="0"/>
        <w:rPr>
          <w:rFonts w:ascii="仿宋" w:hAnsi="仿宋" w:eastAsia="仿宋"/>
          <w:sz w:val="24"/>
          <w:szCs w:val="24"/>
        </w:rPr>
      </w:pPr>
      <w:r>
        <w:rPr>
          <w:rFonts w:hint="eastAsia" w:ascii="仿宋" w:hAnsi="仿宋" w:eastAsia="仿宋"/>
          <w:sz w:val="24"/>
          <w:szCs w:val="24"/>
        </w:rPr>
        <w:t>数量及主要技术要求:详见《公开询价货物一览表》。</w:t>
      </w:r>
    </w:p>
    <w:p>
      <w:pPr>
        <w:widowControl w:val="0"/>
        <w:numPr>
          <w:ilvl w:val="1"/>
          <w:numId w:val="1"/>
        </w:numPr>
        <w:spacing w:after="0" w:line="500" w:lineRule="exact"/>
        <w:ind w:left="639" w:leftChars="0" w:firstLineChars="0"/>
        <w:rPr>
          <w:rFonts w:ascii="仿宋" w:hAnsi="仿宋" w:eastAsia="仿宋"/>
          <w:sz w:val="24"/>
          <w:szCs w:val="24"/>
        </w:rPr>
      </w:pPr>
      <w:r>
        <w:rPr>
          <w:rFonts w:hint="eastAsia" w:ascii="仿宋" w:hAnsi="仿宋" w:eastAsia="仿宋"/>
          <w:sz w:val="24"/>
          <w:szCs w:val="24"/>
        </w:rPr>
        <w:t>参与人资格标准：</w:t>
      </w:r>
    </w:p>
    <w:p>
      <w:pPr>
        <w:widowControl w:val="0"/>
        <w:spacing w:after="0" w:line="500" w:lineRule="exact"/>
        <w:ind w:left="839"/>
        <w:rPr>
          <w:rFonts w:ascii="仿宋" w:hAnsi="仿宋" w:eastAsia="仿宋"/>
          <w:sz w:val="24"/>
          <w:szCs w:val="24"/>
        </w:rPr>
      </w:pPr>
      <w:r>
        <w:rPr>
          <w:rFonts w:hint="eastAsia" w:ascii="仿宋" w:hAnsi="仿宋" w:eastAsia="仿宋"/>
          <w:sz w:val="24"/>
          <w:szCs w:val="24"/>
        </w:rPr>
        <w:t>本项目不接受联合体参与并采用资格预审制，发布公告后，各潜在参与人提供以下相关证明资料（扫描件），经审核通过后方可参与。</w:t>
      </w:r>
    </w:p>
    <w:p>
      <w:pPr>
        <w:pStyle w:val="54"/>
        <w:numPr>
          <w:ilvl w:val="0"/>
          <w:numId w:val="2"/>
        </w:numPr>
        <w:spacing w:after="0" w:line="460" w:lineRule="exact"/>
        <w:ind w:left="1276" w:firstLineChars="0"/>
        <w:rPr>
          <w:rFonts w:ascii="仿宋" w:hAnsi="仿宋" w:eastAsia="仿宋"/>
          <w:sz w:val="24"/>
          <w:szCs w:val="24"/>
        </w:rPr>
      </w:pPr>
      <w:r>
        <w:rPr>
          <w:rFonts w:hint="eastAsia" w:ascii="仿宋" w:hAnsi="仿宋" w:eastAsia="仿宋"/>
          <w:sz w:val="24"/>
          <w:szCs w:val="24"/>
        </w:rPr>
        <w:t>在中国境内注册具有独立法人资格且注册时间超过三年，具有有效的营业执照、税务登记证、组织机构代码证或具有“三证合一”营业执照；</w:t>
      </w:r>
    </w:p>
    <w:p>
      <w:pPr>
        <w:pStyle w:val="54"/>
        <w:numPr>
          <w:ilvl w:val="0"/>
          <w:numId w:val="2"/>
        </w:numPr>
        <w:spacing w:after="0" w:line="460" w:lineRule="exact"/>
        <w:ind w:left="1276" w:firstLineChars="0"/>
        <w:rPr>
          <w:rFonts w:ascii="仿宋" w:hAnsi="仿宋" w:eastAsia="仿宋"/>
          <w:sz w:val="24"/>
          <w:szCs w:val="24"/>
        </w:rPr>
      </w:pPr>
      <w:r>
        <w:rPr>
          <w:rFonts w:hint="eastAsia" w:ascii="仿宋" w:hAnsi="仿宋" w:eastAsia="仿宋"/>
          <w:sz w:val="24"/>
          <w:szCs w:val="24"/>
        </w:rPr>
        <w:t>参与人为代理商的，则必须具有设备厂家针对所投主要产品的授权书及售后服务承诺书；</w:t>
      </w:r>
    </w:p>
    <w:p>
      <w:pPr>
        <w:pStyle w:val="54"/>
        <w:numPr>
          <w:ilvl w:val="0"/>
          <w:numId w:val="2"/>
        </w:numPr>
        <w:spacing w:after="0" w:line="460" w:lineRule="exact"/>
        <w:ind w:left="1276" w:firstLineChars="0"/>
        <w:rPr>
          <w:rFonts w:ascii="仿宋" w:hAnsi="仿宋" w:eastAsia="仿宋"/>
          <w:color w:val="auto"/>
          <w:sz w:val="24"/>
          <w:szCs w:val="24"/>
        </w:rPr>
      </w:pPr>
      <w:r>
        <w:rPr>
          <w:rFonts w:hint="eastAsia" w:ascii="仿宋" w:hAnsi="仿宋" w:eastAsia="仿宋"/>
          <w:sz w:val="24"/>
          <w:szCs w:val="24"/>
        </w:rPr>
        <w:t>参与人在本公告发布之日起算的三年内，同时满足以下三个条件：1）未受到行政机关以下种类行政处罚的：暂扣许可证件、降低资质等级、吊销许可证件、限制开展生产经营活动、责令停产停业、责令关闭、限制从业；2）未处于或未曾经处于“失信被执行人”状态的；3）未处于或未曾经处于重大税收违法案件当事人名单或政府采购严重违法失信行为记录名单状态的。</w:t>
      </w:r>
      <w:r>
        <w:rPr>
          <w:rFonts w:hint="eastAsia" w:ascii="仿宋" w:hAnsi="仿宋" w:eastAsia="仿宋"/>
          <w:b/>
          <w:bCs/>
          <w:sz w:val="24"/>
          <w:szCs w:val="24"/>
        </w:rPr>
        <w:t>参与人需对以上情况提供《承诺书》</w:t>
      </w:r>
      <w:r>
        <w:rPr>
          <w:rFonts w:hint="eastAsia" w:ascii="仿宋" w:hAnsi="仿宋" w:eastAsia="仿宋"/>
          <w:color w:val="auto"/>
          <w:sz w:val="24"/>
          <w:szCs w:val="24"/>
        </w:rPr>
        <w:t>，以及“信用中国”征信报告。</w:t>
      </w:r>
    </w:p>
    <w:p>
      <w:pPr>
        <w:widowControl w:val="0"/>
        <w:numPr>
          <w:ilvl w:val="1"/>
          <w:numId w:val="1"/>
        </w:numPr>
        <w:spacing w:after="0" w:line="500" w:lineRule="exact"/>
        <w:ind w:left="639" w:leftChars="0" w:firstLineChars="0"/>
        <w:rPr>
          <w:rFonts w:ascii="仿宋" w:hAnsi="仿宋" w:eastAsia="仿宋"/>
          <w:sz w:val="24"/>
          <w:szCs w:val="24"/>
        </w:rPr>
      </w:pPr>
      <w:r>
        <w:rPr>
          <w:rFonts w:hint="eastAsia" w:ascii="仿宋" w:hAnsi="仿宋" w:eastAsia="仿宋"/>
          <w:sz w:val="24"/>
          <w:szCs w:val="24"/>
        </w:rPr>
        <w:t>资格预审：请参与人在</w:t>
      </w:r>
      <w:r>
        <w:rPr>
          <w:rFonts w:hint="eastAsia" w:ascii="仿宋" w:hAnsi="仿宋" w:eastAsia="仿宋"/>
          <w:sz w:val="24"/>
          <w:szCs w:val="24"/>
          <w:lang w:eastAsia="zh-CN"/>
        </w:rPr>
        <w:t>递交询价</w:t>
      </w:r>
      <w:r>
        <w:rPr>
          <w:rFonts w:hint="eastAsia" w:ascii="仿宋" w:hAnsi="仿宋" w:eastAsia="仿宋"/>
          <w:sz w:val="24"/>
          <w:szCs w:val="24"/>
        </w:rPr>
        <w:t>文件前将以上第4条所列的证明材料以电子扫描件形式发送给采购人进行审核，审核通过后根据本项目联系人指引，注册中教集团SRM采购平台。</w:t>
      </w:r>
      <w:r>
        <w:rPr>
          <w:rFonts w:hint="eastAsia" w:ascii="仿宋" w:hAnsi="仿宋" w:eastAsia="仿宋"/>
          <w:sz w:val="24"/>
          <w:szCs w:val="24"/>
          <w:lang w:eastAsia="zh-CN"/>
        </w:rPr>
        <w:t>平台网址：</w:t>
      </w:r>
      <w:r>
        <w:rPr>
          <w:rFonts w:hint="eastAsia" w:ascii="仿宋" w:hAnsi="仿宋" w:eastAsia="仿宋"/>
          <w:sz w:val="24"/>
          <w:szCs w:val="24"/>
          <w:lang w:val="en-US" w:eastAsia="zh-CN"/>
        </w:rPr>
        <w:fldChar w:fldCharType="begin"/>
      </w:r>
      <w:r>
        <w:rPr>
          <w:rFonts w:hint="eastAsia" w:ascii="仿宋" w:hAnsi="仿宋" w:eastAsia="仿宋"/>
          <w:sz w:val="24"/>
          <w:szCs w:val="24"/>
          <w:lang w:val="en-US" w:eastAsia="zh-CN"/>
        </w:rPr>
        <w:instrText xml:space="preserve"> HYPERLINK "https://srm.educationgroup.cn/yicai-base/" </w:instrText>
      </w:r>
      <w:r>
        <w:rPr>
          <w:rFonts w:hint="eastAsia" w:ascii="仿宋" w:hAnsi="仿宋" w:eastAsia="仿宋"/>
          <w:sz w:val="24"/>
          <w:szCs w:val="24"/>
          <w:lang w:val="en-US" w:eastAsia="zh-CN"/>
        </w:rPr>
        <w:fldChar w:fldCharType="separate"/>
      </w:r>
      <w:r>
        <w:rPr>
          <w:rStyle w:val="27"/>
          <w:rFonts w:hint="eastAsia" w:ascii="仿宋" w:hAnsi="仿宋" w:eastAsia="仿宋"/>
          <w:sz w:val="24"/>
          <w:szCs w:val="24"/>
          <w:lang w:val="en-US" w:eastAsia="zh-CN"/>
        </w:rPr>
        <w:t>https://srm.educationgroup.cn/yicai-base/</w:t>
      </w:r>
      <w:r>
        <w:rPr>
          <w:rFonts w:hint="eastAsia" w:ascii="仿宋" w:hAnsi="仿宋" w:eastAsia="仿宋"/>
          <w:sz w:val="24"/>
          <w:szCs w:val="24"/>
          <w:lang w:val="en-US" w:eastAsia="zh-CN"/>
        </w:rPr>
        <w:fldChar w:fldCharType="end"/>
      </w:r>
      <w:r>
        <w:rPr>
          <w:rFonts w:hint="eastAsia" w:ascii="仿宋" w:hAnsi="仿宋" w:eastAsia="仿宋"/>
          <w:sz w:val="24"/>
          <w:szCs w:val="24"/>
          <w:lang w:val="en-US" w:eastAsia="zh-CN"/>
        </w:rPr>
        <w:t xml:space="preserve"> </w:t>
      </w:r>
      <w:r>
        <w:rPr>
          <w:rFonts w:hint="eastAsia" w:ascii="仿宋" w:hAnsi="仿宋" w:eastAsia="仿宋"/>
          <w:sz w:val="24"/>
          <w:szCs w:val="24"/>
        </w:rPr>
        <w:t>联系人：</w:t>
      </w:r>
      <w:r>
        <w:rPr>
          <w:rFonts w:hint="eastAsia" w:ascii="仿宋" w:hAnsi="仿宋" w:eastAsia="仿宋"/>
          <w:sz w:val="24"/>
          <w:szCs w:val="24"/>
          <w:lang w:eastAsia="zh-CN"/>
        </w:rPr>
        <w:t>杜倩文</w:t>
      </w:r>
      <w:r>
        <w:rPr>
          <w:rFonts w:hint="eastAsia" w:ascii="仿宋" w:hAnsi="仿宋" w:eastAsia="仿宋"/>
          <w:sz w:val="24"/>
          <w:szCs w:val="24"/>
        </w:rPr>
        <w:t>，电话：</w:t>
      </w:r>
      <w:r>
        <w:rPr>
          <w:rFonts w:hint="eastAsia" w:ascii="仿宋" w:hAnsi="仿宋" w:eastAsia="仿宋"/>
          <w:sz w:val="24"/>
          <w:szCs w:val="24"/>
          <w:lang w:val="en-US" w:eastAsia="zh-CN"/>
        </w:rPr>
        <w:t>13071033298</w:t>
      </w:r>
      <w:r>
        <w:rPr>
          <w:rFonts w:hint="eastAsia" w:ascii="仿宋" w:hAnsi="仿宋" w:eastAsia="仿宋"/>
          <w:sz w:val="24"/>
          <w:szCs w:val="24"/>
        </w:rPr>
        <w:t>。</w:t>
      </w:r>
    </w:p>
    <w:p>
      <w:pPr>
        <w:widowControl w:val="0"/>
        <w:numPr>
          <w:ilvl w:val="1"/>
          <w:numId w:val="1"/>
        </w:numPr>
        <w:spacing w:after="0" w:line="500" w:lineRule="exact"/>
        <w:ind w:left="639" w:leftChars="0" w:firstLineChars="0"/>
        <w:rPr>
          <w:rFonts w:ascii="仿宋" w:hAnsi="仿宋" w:eastAsia="仿宋"/>
          <w:sz w:val="24"/>
          <w:szCs w:val="24"/>
          <w:shd w:val="clear" w:color="auto" w:fill="FFFFFF"/>
        </w:rPr>
      </w:pPr>
      <w:r>
        <w:rPr>
          <w:rFonts w:hint="eastAsia" w:ascii="仿宋" w:hAnsi="仿宋" w:eastAsia="仿宋"/>
          <w:sz w:val="24"/>
          <w:szCs w:val="24"/>
        </w:rPr>
        <w:t>报价响应文件递交方式：</w:t>
      </w:r>
      <w:r>
        <w:rPr>
          <w:rFonts w:hint="eastAsia" w:ascii="仿宋" w:hAnsi="仿宋" w:eastAsia="仿宋"/>
          <w:sz w:val="24"/>
          <w:szCs w:val="24"/>
          <w:lang w:eastAsia="zh-CN"/>
        </w:rPr>
        <w:t>☑</w:t>
      </w:r>
      <w:r>
        <w:rPr>
          <w:rFonts w:hint="eastAsia" w:ascii="仿宋" w:hAnsi="仿宋" w:eastAsia="仿宋"/>
          <w:sz w:val="24"/>
          <w:szCs w:val="24"/>
        </w:rPr>
        <w:t>SRM采购平台</w:t>
      </w:r>
    </w:p>
    <w:p>
      <w:pPr>
        <w:widowControl w:val="0"/>
        <w:numPr>
          <w:ilvl w:val="1"/>
          <w:numId w:val="1"/>
        </w:numPr>
        <w:spacing w:after="0" w:line="500" w:lineRule="exact"/>
        <w:ind w:left="639" w:leftChars="0" w:firstLineChars="0"/>
        <w:rPr>
          <w:rFonts w:hint="default" w:eastAsia="仿宋"/>
          <w:lang w:val="en-US" w:eastAsia="zh-CN"/>
        </w:rPr>
      </w:pPr>
      <w:r>
        <w:rPr>
          <w:rFonts w:hint="eastAsia" w:ascii="仿宋" w:hAnsi="仿宋" w:eastAsia="仿宋"/>
          <w:b/>
          <w:bCs/>
          <w:sz w:val="24"/>
          <w:szCs w:val="24"/>
          <w:lang w:eastAsia="zh-CN"/>
        </w:rPr>
        <w:t>报价及样品</w:t>
      </w:r>
      <w:r>
        <w:rPr>
          <w:rFonts w:hint="eastAsia" w:ascii="仿宋" w:hAnsi="仿宋" w:eastAsia="仿宋"/>
          <w:b/>
          <w:bCs/>
          <w:sz w:val="24"/>
          <w:szCs w:val="24"/>
        </w:rPr>
        <w:t>递交截止时间</w:t>
      </w:r>
      <w:r>
        <w:rPr>
          <w:rFonts w:hint="eastAsia" w:ascii="仿宋" w:hAnsi="仿宋" w:eastAsia="仿宋"/>
          <w:b/>
          <w:bCs/>
          <w:sz w:val="24"/>
          <w:szCs w:val="24"/>
          <w:shd w:val="clear" w:color="auto" w:fill="FFFFFF"/>
        </w:rPr>
        <w:t>：</w:t>
      </w:r>
      <w:r>
        <w:rPr>
          <w:rFonts w:hint="eastAsia" w:ascii="仿宋" w:hAnsi="仿宋" w:eastAsia="仿宋"/>
          <w:b/>
          <w:bCs/>
          <w:sz w:val="24"/>
          <w:szCs w:val="24"/>
          <w:shd w:val="clear" w:color="auto" w:fill="FFFFFF"/>
          <w:lang w:val="en-US" w:eastAsia="zh-CN"/>
        </w:rPr>
        <w:t>2026</w:t>
      </w:r>
      <w:r>
        <w:rPr>
          <w:rFonts w:hint="eastAsia" w:ascii="仿宋" w:hAnsi="仿宋" w:eastAsia="仿宋"/>
          <w:b/>
          <w:bCs/>
          <w:sz w:val="24"/>
          <w:szCs w:val="24"/>
          <w:shd w:val="clear" w:color="auto" w:fill="FFFFFF"/>
        </w:rPr>
        <w:t>年</w:t>
      </w:r>
      <w:r>
        <w:rPr>
          <w:rFonts w:hint="eastAsia" w:ascii="仿宋" w:hAnsi="仿宋" w:eastAsia="仿宋"/>
          <w:b/>
          <w:bCs/>
          <w:sz w:val="24"/>
          <w:szCs w:val="24"/>
          <w:shd w:val="clear" w:color="auto" w:fill="FFFFFF"/>
          <w:lang w:val="en-US" w:eastAsia="zh-CN"/>
        </w:rPr>
        <w:t>1</w:t>
      </w:r>
      <w:r>
        <w:rPr>
          <w:rFonts w:ascii="仿宋" w:hAnsi="仿宋" w:eastAsia="仿宋"/>
          <w:b/>
          <w:bCs/>
          <w:sz w:val="24"/>
          <w:szCs w:val="24"/>
          <w:shd w:val="clear" w:color="auto" w:fill="FFFFFF"/>
        </w:rPr>
        <w:t>月</w:t>
      </w:r>
      <w:r>
        <w:rPr>
          <w:rFonts w:hint="eastAsia" w:ascii="仿宋" w:hAnsi="仿宋" w:eastAsia="仿宋"/>
          <w:b/>
          <w:bCs/>
          <w:sz w:val="24"/>
          <w:szCs w:val="24"/>
          <w:shd w:val="clear" w:color="auto" w:fill="FFFFFF"/>
          <w:lang w:val="en-US" w:eastAsia="zh-CN"/>
        </w:rPr>
        <w:t>19</w:t>
      </w:r>
      <w:r>
        <w:rPr>
          <w:rFonts w:ascii="仿宋" w:hAnsi="仿宋" w:eastAsia="仿宋"/>
          <w:b/>
          <w:bCs/>
          <w:sz w:val="24"/>
          <w:szCs w:val="24"/>
          <w:shd w:val="clear" w:color="auto" w:fill="FFFFFF"/>
        </w:rPr>
        <w:t>日</w:t>
      </w:r>
      <w:r>
        <w:rPr>
          <w:rFonts w:hint="eastAsia" w:ascii="仿宋" w:hAnsi="仿宋" w:eastAsia="仿宋"/>
          <w:b/>
          <w:bCs/>
          <w:sz w:val="24"/>
          <w:szCs w:val="24"/>
          <w:shd w:val="clear" w:color="auto" w:fill="FFFFFF"/>
          <w:lang w:eastAsia="zh-CN"/>
        </w:rPr>
        <w:t>下</w:t>
      </w:r>
      <w:r>
        <w:rPr>
          <w:rFonts w:hint="eastAsia" w:ascii="仿宋" w:hAnsi="仿宋" w:eastAsia="仿宋"/>
          <w:b/>
          <w:bCs/>
          <w:sz w:val="24"/>
          <w:szCs w:val="24"/>
          <w:shd w:val="clear" w:color="auto" w:fill="FFFFFF"/>
        </w:rPr>
        <w:t>午</w:t>
      </w:r>
      <w:r>
        <w:rPr>
          <w:rFonts w:hint="eastAsia" w:ascii="仿宋" w:hAnsi="仿宋" w:eastAsia="仿宋"/>
          <w:b/>
          <w:bCs/>
          <w:sz w:val="24"/>
          <w:szCs w:val="24"/>
          <w:shd w:val="clear" w:color="auto" w:fill="FFFFFF"/>
          <w:lang w:val="en-US" w:eastAsia="zh-CN"/>
        </w:rPr>
        <w:t>16</w:t>
      </w:r>
      <w:r>
        <w:rPr>
          <w:rFonts w:hint="eastAsia" w:ascii="仿宋" w:hAnsi="仿宋" w:eastAsia="仿宋"/>
          <w:b/>
          <w:bCs/>
          <w:sz w:val="24"/>
          <w:szCs w:val="24"/>
          <w:shd w:val="clear" w:color="auto" w:fill="FFFFFF"/>
        </w:rPr>
        <w:t>:</w:t>
      </w:r>
      <w:r>
        <w:rPr>
          <w:rFonts w:hint="eastAsia" w:ascii="仿宋" w:hAnsi="仿宋" w:eastAsia="仿宋"/>
          <w:b/>
          <w:bCs/>
          <w:sz w:val="24"/>
          <w:szCs w:val="24"/>
          <w:shd w:val="clear" w:color="auto" w:fill="FFFFFF"/>
          <w:lang w:val="en-US" w:eastAsia="zh-CN"/>
        </w:rPr>
        <w:t>00</w:t>
      </w:r>
      <w:r>
        <w:rPr>
          <w:rFonts w:hint="eastAsia" w:ascii="仿宋" w:hAnsi="仿宋" w:eastAsia="仿宋"/>
          <w:b/>
          <w:bCs/>
          <w:sz w:val="24"/>
          <w:szCs w:val="24"/>
          <w:shd w:val="clear" w:color="auto" w:fill="FFFFFF"/>
        </w:rPr>
        <w:t>前</w:t>
      </w:r>
      <w:r>
        <w:rPr>
          <w:rFonts w:ascii="仿宋" w:hAnsi="仿宋" w:eastAsia="仿宋" w:cs="仿宋"/>
          <w:i w:val="0"/>
          <w:caps w:val="0"/>
          <w:color w:val="323232"/>
          <w:spacing w:val="0"/>
          <w:sz w:val="24"/>
          <w:szCs w:val="24"/>
          <w:shd w:val="clear" w:fill="FFFFFF"/>
        </w:rPr>
        <w:t>（以参与人快递寄出时间为准，邮寄时应提前告知</w:t>
      </w:r>
      <w:r>
        <w:rPr>
          <w:rFonts w:hint="eastAsia" w:ascii="仿宋" w:hAnsi="仿宋" w:eastAsia="仿宋" w:cs="仿宋"/>
          <w:i w:val="0"/>
          <w:caps w:val="0"/>
          <w:color w:val="323232"/>
          <w:spacing w:val="0"/>
          <w:sz w:val="24"/>
          <w:szCs w:val="24"/>
          <w:shd w:val="clear" w:fill="FFFFFF"/>
          <w:lang w:eastAsia="zh-CN"/>
        </w:rPr>
        <w:t>，仅限外地参与人</w:t>
      </w:r>
      <w:r>
        <w:rPr>
          <w:rFonts w:ascii="仿宋" w:hAnsi="仿宋" w:eastAsia="仿宋" w:cs="仿宋"/>
          <w:i w:val="0"/>
          <w:caps w:val="0"/>
          <w:color w:val="323232"/>
          <w:spacing w:val="0"/>
          <w:sz w:val="24"/>
          <w:szCs w:val="24"/>
          <w:shd w:val="clear" w:fill="FFFFFF"/>
        </w:rPr>
        <w:t>）</w:t>
      </w:r>
    </w:p>
    <w:p>
      <w:pPr>
        <w:pStyle w:val="54"/>
        <w:numPr>
          <w:ilvl w:val="1"/>
          <w:numId w:val="1"/>
        </w:numPr>
        <w:spacing w:after="0" w:line="500" w:lineRule="exact"/>
        <w:ind w:left="639" w:leftChars="0" w:firstLineChars="0"/>
        <w:rPr>
          <w:rFonts w:ascii="仿宋" w:hAnsi="仿宋" w:eastAsia="仿宋"/>
          <w:sz w:val="24"/>
          <w:szCs w:val="24"/>
        </w:rPr>
      </w:pPr>
      <w:r>
        <w:rPr>
          <w:rFonts w:hint="eastAsia" w:ascii="仿宋" w:hAnsi="仿宋" w:eastAsia="仿宋"/>
          <w:b/>
          <w:bCs/>
          <w:sz w:val="24"/>
          <w:szCs w:val="24"/>
        </w:rPr>
        <w:t>报价响应文件</w:t>
      </w:r>
      <w:r>
        <w:rPr>
          <w:rFonts w:hint="eastAsia" w:ascii="仿宋" w:hAnsi="仿宋" w:eastAsia="仿宋"/>
          <w:b/>
          <w:bCs/>
          <w:sz w:val="24"/>
          <w:szCs w:val="24"/>
          <w:lang w:eastAsia="zh-CN"/>
        </w:rPr>
        <w:t>及样品</w:t>
      </w:r>
      <w:r>
        <w:rPr>
          <w:rFonts w:hint="eastAsia" w:ascii="仿宋" w:hAnsi="仿宋" w:eastAsia="仿宋"/>
          <w:b/>
          <w:bCs/>
          <w:sz w:val="24"/>
          <w:szCs w:val="24"/>
        </w:rPr>
        <w:t>递交地点：</w:t>
      </w:r>
      <w:r>
        <w:rPr>
          <w:rFonts w:hint="eastAsia" w:ascii="仿宋" w:hAnsi="仿宋" w:eastAsia="仿宋"/>
          <w:b/>
          <w:bCs/>
          <w:sz w:val="24"/>
          <w:szCs w:val="24"/>
          <w:lang w:eastAsia="zh-CN"/>
        </w:rPr>
        <w:t>行政楼二楼综合科（</w:t>
      </w:r>
      <w:r>
        <w:rPr>
          <w:rFonts w:hint="eastAsia" w:ascii="仿宋" w:hAnsi="仿宋" w:eastAsia="仿宋"/>
          <w:b/>
          <w:bCs/>
          <w:color w:val="auto"/>
          <w:sz w:val="24"/>
          <w:szCs w:val="24"/>
          <w:lang w:val="en-US" w:eastAsia="zh-CN"/>
        </w:rPr>
        <w:t>参与人需到学校递交响应文件并参与1月20日上午09：30的公开询价会议，需携带密封报价文件及所投样品</w:t>
      </w:r>
      <w:r>
        <w:rPr>
          <w:rFonts w:hint="eastAsia" w:ascii="仿宋" w:hAnsi="仿宋" w:eastAsia="仿宋"/>
          <w:sz w:val="24"/>
          <w:szCs w:val="24"/>
          <w:lang w:eastAsia="zh-CN"/>
        </w:rPr>
        <w:t>）</w:t>
      </w:r>
    </w:p>
    <w:p>
      <w:pPr>
        <w:pStyle w:val="54"/>
        <w:spacing w:after="0" w:line="500" w:lineRule="exact"/>
        <w:ind w:left="839" w:firstLine="0" w:firstLineChars="0"/>
        <w:rPr>
          <w:rFonts w:hint="default" w:ascii="仿宋" w:hAnsi="仿宋" w:eastAsia="仿宋"/>
          <w:color w:val="FF0000"/>
          <w:sz w:val="24"/>
          <w:szCs w:val="24"/>
          <w:lang w:val="en-US" w:eastAsia="zh-CN"/>
        </w:rPr>
      </w:pPr>
      <w:r>
        <w:rPr>
          <w:rFonts w:hint="eastAsia" w:ascii="仿宋" w:hAnsi="仿宋" w:eastAsia="仿宋"/>
          <w:sz w:val="24"/>
          <w:szCs w:val="24"/>
        </w:rPr>
        <w:t>联系人：</w:t>
      </w:r>
      <w:r>
        <w:rPr>
          <w:rFonts w:hint="eastAsia" w:ascii="仿宋" w:hAnsi="仿宋" w:eastAsia="仿宋"/>
          <w:sz w:val="24"/>
          <w:szCs w:val="24"/>
          <w:lang w:eastAsia="zh-CN"/>
        </w:rPr>
        <w:t>杜倩文</w:t>
      </w:r>
      <w:r>
        <w:rPr>
          <w:rFonts w:hint="eastAsia" w:ascii="仿宋" w:hAnsi="仿宋" w:eastAsia="仿宋"/>
          <w:sz w:val="24"/>
          <w:szCs w:val="24"/>
        </w:rPr>
        <w:t>；联系电话：</w:t>
      </w:r>
      <w:r>
        <w:rPr>
          <w:rFonts w:hint="eastAsia" w:ascii="仿宋" w:hAnsi="仿宋" w:eastAsia="仿宋"/>
          <w:sz w:val="24"/>
          <w:szCs w:val="24"/>
          <w:lang w:val="en-US" w:eastAsia="zh-CN"/>
        </w:rPr>
        <w:t>13071033298</w:t>
      </w:r>
    </w:p>
    <w:p>
      <w:pPr>
        <w:widowControl w:val="0"/>
        <w:numPr>
          <w:ilvl w:val="0"/>
          <w:numId w:val="0"/>
        </w:numPr>
        <w:spacing w:after="0" w:line="500" w:lineRule="exact"/>
        <w:ind w:left="220" w:leftChars="0"/>
        <w:rPr>
          <w:rFonts w:ascii="仿宋" w:hAnsi="仿宋" w:eastAsia="仿宋"/>
          <w:sz w:val="24"/>
          <w:szCs w:val="24"/>
          <w:highlight w:val="yellow"/>
        </w:rPr>
      </w:pPr>
      <w:r>
        <w:rPr>
          <w:rFonts w:hint="eastAsia" w:ascii="仿宋" w:hAnsi="仿宋" w:eastAsia="仿宋"/>
          <w:sz w:val="24"/>
          <w:szCs w:val="24"/>
          <w:lang w:val="en-US" w:eastAsia="zh-CN"/>
        </w:rPr>
        <w:t>9.</w:t>
      </w:r>
      <w:r>
        <w:rPr>
          <w:rFonts w:hint="eastAsia" w:ascii="仿宋" w:hAnsi="仿宋" w:eastAsia="仿宋"/>
          <w:sz w:val="24"/>
          <w:szCs w:val="24"/>
        </w:rPr>
        <w:t>本项目需参与人在递交响应文件同时提供所投产品样品，成交参与人样品视情况予以封存或退回。</w:t>
      </w:r>
    </w:p>
    <w:p>
      <w:pPr>
        <w:widowControl w:val="0"/>
        <w:numPr>
          <w:ilvl w:val="0"/>
          <w:numId w:val="0"/>
        </w:numPr>
        <w:spacing w:after="0" w:line="460" w:lineRule="exact"/>
        <w:ind w:left="220" w:leftChars="0"/>
        <w:rPr>
          <w:rFonts w:ascii="仿宋" w:hAnsi="仿宋" w:eastAsia="仿宋"/>
          <w:sz w:val="24"/>
          <w:szCs w:val="24"/>
        </w:rPr>
      </w:pPr>
      <w:r>
        <w:rPr>
          <w:rFonts w:hint="eastAsia" w:ascii="仿宋" w:hAnsi="仿宋" w:eastAsia="仿宋"/>
          <w:sz w:val="24"/>
          <w:szCs w:val="24"/>
          <w:lang w:val="en-US" w:eastAsia="zh-CN"/>
        </w:rPr>
        <w:t>10.</w:t>
      </w:r>
      <w:r>
        <w:rPr>
          <w:rFonts w:hint="eastAsia" w:ascii="仿宋" w:hAnsi="仿宋" w:eastAsia="仿宋"/>
          <w:sz w:val="24"/>
          <w:szCs w:val="24"/>
        </w:rPr>
        <w:t>参加本项目的参与人如对公开询价邀请函列示内容存有疑问的，</w:t>
      </w:r>
      <w:bookmarkStart w:id="47" w:name="_Hlk97917519"/>
      <w:r>
        <w:rPr>
          <w:rFonts w:hint="eastAsia" w:ascii="仿宋" w:hAnsi="仿宋" w:eastAsia="仿宋"/>
          <w:sz w:val="24"/>
          <w:szCs w:val="24"/>
        </w:rPr>
        <w:t>请在</w:t>
      </w:r>
      <w:r>
        <w:rPr>
          <w:rFonts w:hint="eastAsia" w:ascii="仿宋" w:hAnsi="仿宋" w:eastAsia="仿宋"/>
          <w:sz w:val="24"/>
          <w:szCs w:val="24"/>
          <w:lang w:eastAsia="zh-CN"/>
        </w:rPr>
        <w:t>递交报价</w:t>
      </w:r>
      <w:r>
        <w:rPr>
          <w:rFonts w:hint="eastAsia" w:ascii="仿宋" w:hAnsi="仿宋" w:eastAsia="仿宋"/>
          <w:sz w:val="24"/>
          <w:szCs w:val="24"/>
        </w:rPr>
        <w:t>文件截止之日前将问题以书面形式（有效签署的原件并加盖公章）提交，采购人不对超时提交及未加盖公章的质疑文件进行回复。</w:t>
      </w:r>
    </w:p>
    <w:p>
      <w:pPr>
        <w:widowControl w:val="0"/>
        <w:tabs>
          <w:tab w:val="left" w:pos="839"/>
        </w:tabs>
        <w:spacing w:after="0" w:line="460" w:lineRule="exact"/>
        <w:ind w:left="839"/>
        <w:rPr>
          <w:rFonts w:hint="default" w:ascii="仿宋" w:hAnsi="仿宋" w:eastAsia="仿宋"/>
          <w:color w:val="auto"/>
          <w:sz w:val="24"/>
          <w:szCs w:val="24"/>
          <w:lang w:val="en-US" w:eastAsia="zh-CN"/>
        </w:rPr>
      </w:pPr>
      <w:r>
        <w:rPr>
          <w:rFonts w:hint="eastAsia" w:ascii="仿宋" w:hAnsi="仿宋" w:eastAsia="仿宋"/>
          <w:b/>
          <w:bCs/>
          <w:color w:val="auto"/>
          <w:sz w:val="24"/>
          <w:szCs w:val="24"/>
        </w:rPr>
        <w:t>项目联系人（学校采购部门）：</w:t>
      </w:r>
      <w:r>
        <w:rPr>
          <w:rFonts w:hint="eastAsia" w:ascii="仿宋" w:hAnsi="仿宋" w:eastAsia="仿宋"/>
          <w:b/>
          <w:bCs/>
          <w:color w:val="auto"/>
          <w:sz w:val="24"/>
          <w:szCs w:val="24"/>
          <w:lang w:eastAsia="zh-CN"/>
        </w:rPr>
        <w:t>杜倩文</w:t>
      </w:r>
      <w:r>
        <w:rPr>
          <w:rFonts w:hint="eastAsia" w:ascii="仿宋" w:hAnsi="仿宋" w:eastAsia="仿宋"/>
          <w:b/>
          <w:bCs/>
          <w:color w:val="auto"/>
          <w:sz w:val="24"/>
          <w:szCs w:val="24"/>
        </w:rPr>
        <w:t>，电话：</w:t>
      </w:r>
      <w:r>
        <w:rPr>
          <w:rFonts w:hint="eastAsia" w:ascii="仿宋" w:hAnsi="仿宋" w:eastAsia="仿宋"/>
          <w:b/>
          <w:bCs/>
          <w:color w:val="auto"/>
          <w:sz w:val="24"/>
          <w:szCs w:val="24"/>
          <w:lang w:val="en-US" w:eastAsia="zh-CN"/>
        </w:rPr>
        <w:t>13071033298</w:t>
      </w:r>
    </w:p>
    <w:p>
      <w:pPr>
        <w:widowControl w:val="0"/>
        <w:tabs>
          <w:tab w:val="left" w:pos="839"/>
        </w:tabs>
        <w:spacing w:after="0" w:line="460" w:lineRule="exact"/>
        <w:ind w:left="839"/>
        <w:rPr>
          <w:rFonts w:hint="default" w:ascii="仿宋" w:hAnsi="仿宋" w:eastAsia="仿宋"/>
          <w:b/>
          <w:bCs/>
          <w:color w:val="auto"/>
          <w:sz w:val="24"/>
          <w:szCs w:val="24"/>
          <w:lang w:val="en-US" w:eastAsia="zh-CN"/>
        </w:rPr>
      </w:pPr>
      <w:r>
        <w:rPr>
          <w:rFonts w:hint="eastAsia" w:ascii="仿宋" w:hAnsi="仿宋" w:eastAsia="仿宋"/>
          <w:b/>
          <w:bCs/>
          <w:color w:val="auto"/>
          <w:sz w:val="24"/>
          <w:szCs w:val="24"/>
        </w:rPr>
        <w:t>采购单位联系人（集团后勤部项目负责人）：</w:t>
      </w:r>
      <w:r>
        <w:rPr>
          <w:rFonts w:hint="eastAsia" w:ascii="仿宋" w:hAnsi="仿宋" w:eastAsia="仿宋"/>
          <w:b/>
          <w:bCs/>
          <w:color w:val="auto"/>
          <w:sz w:val="24"/>
          <w:szCs w:val="24"/>
          <w:lang w:eastAsia="zh-CN"/>
        </w:rPr>
        <w:t>牛经理</w:t>
      </w:r>
      <w:r>
        <w:rPr>
          <w:rFonts w:hint="eastAsia" w:ascii="仿宋" w:hAnsi="仿宋" w:eastAsia="仿宋"/>
          <w:b/>
          <w:bCs/>
          <w:color w:val="auto"/>
          <w:sz w:val="24"/>
          <w:szCs w:val="24"/>
        </w:rPr>
        <w:t>，电话：</w:t>
      </w:r>
      <w:r>
        <w:rPr>
          <w:rFonts w:hint="eastAsia" w:ascii="仿宋" w:hAnsi="仿宋" w:eastAsia="仿宋"/>
          <w:b/>
          <w:bCs/>
          <w:color w:val="auto"/>
          <w:sz w:val="24"/>
          <w:szCs w:val="24"/>
          <w:lang w:val="en-US" w:eastAsia="zh-CN"/>
        </w:rPr>
        <w:t>150790498526</w:t>
      </w:r>
    </w:p>
    <w:p>
      <w:pPr>
        <w:widowControl w:val="0"/>
        <w:numPr>
          <w:ilvl w:val="0"/>
          <w:numId w:val="0"/>
        </w:numPr>
        <w:spacing w:after="0" w:line="460" w:lineRule="exact"/>
        <w:ind w:left="220" w:leftChars="0"/>
        <w:rPr>
          <w:rFonts w:ascii="仿宋" w:hAnsi="仿宋" w:eastAsia="仿宋"/>
          <w:sz w:val="24"/>
          <w:szCs w:val="24"/>
        </w:rPr>
      </w:pPr>
      <w:r>
        <w:rPr>
          <w:rFonts w:hint="eastAsia" w:ascii="仿宋" w:hAnsi="仿宋" w:eastAsia="仿宋"/>
          <w:sz w:val="24"/>
          <w:szCs w:val="24"/>
          <w:lang w:val="en-US" w:eastAsia="zh-CN"/>
        </w:rPr>
        <w:t>11.</w:t>
      </w:r>
      <w:r>
        <w:rPr>
          <w:rFonts w:hint="eastAsia" w:ascii="仿宋" w:hAnsi="仿宋" w:eastAsia="仿宋"/>
          <w:sz w:val="24"/>
          <w:szCs w:val="24"/>
        </w:rPr>
        <w:t>本项目最终成交结果会在中教集团旗下各平台公示，网址1：www.ceghqxz.com；网址2：https://srm.educationgroup.cn。参加本项目的参与人如对</w:t>
      </w:r>
      <w:r>
        <w:rPr>
          <w:rFonts w:hint="eastAsia" w:ascii="仿宋" w:hAnsi="仿宋" w:eastAsia="仿宋"/>
          <w:b/>
          <w:bCs/>
          <w:sz w:val="24"/>
          <w:szCs w:val="24"/>
        </w:rPr>
        <w:t>采购过程和成交结果有异议的，</w:t>
      </w:r>
      <w:bookmarkEnd w:id="47"/>
      <w:r>
        <w:rPr>
          <w:rFonts w:hint="eastAsia" w:ascii="仿宋" w:hAnsi="仿宋" w:eastAsia="仿宋"/>
          <w:sz w:val="24"/>
          <w:szCs w:val="24"/>
        </w:rPr>
        <w:t>请以书面形式（有效签署的原件并加盖公章），并附有相关的证据材料，提交至集团监察审计部。</w:t>
      </w:r>
    </w:p>
    <w:p>
      <w:pPr>
        <w:widowControl w:val="0"/>
        <w:tabs>
          <w:tab w:val="left" w:pos="839"/>
        </w:tabs>
        <w:spacing w:after="0" w:line="460" w:lineRule="exact"/>
        <w:ind w:left="839"/>
        <w:rPr>
          <w:rFonts w:ascii="仿宋" w:hAnsi="仿宋" w:eastAsia="仿宋"/>
          <w:sz w:val="24"/>
          <w:szCs w:val="24"/>
        </w:rPr>
      </w:pPr>
      <w:r>
        <w:rPr>
          <w:rFonts w:hint="eastAsia" w:ascii="仿宋" w:hAnsi="仿宋" w:eastAsia="仿宋"/>
          <w:sz w:val="24"/>
          <w:szCs w:val="24"/>
        </w:rPr>
        <w:t>投诉受理部门：中教集团监察审计部，投诉电话：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color w:val="auto"/>
          <w:sz w:val="24"/>
          <w:szCs w:val="24"/>
          <w:highlight w:val="yellow"/>
        </w:rPr>
      </w:pPr>
      <w:r>
        <w:rPr>
          <w:rFonts w:ascii="仿宋" w:hAnsi="仿宋" w:eastAsia="仿宋"/>
          <w:sz w:val="24"/>
          <w:szCs w:val="24"/>
          <w:highlight w:val="yellow"/>
        </w:rPr>
        <w:t>响应文件</w:t>
      </w:r>
      <w:r>
        <w:rPr>
          <w:rFonts w:hint="eastAsia" w:ascii="仿宋" w:hAnsi="仿宋" w:eastAsia="仿宋"/>
          <w:sz w:val="24"/>
          <w:szCs w:val="24"/>
          <w:highlight w:val="yellow"/>
        </w:rPr>
        <w:t>的编制</w:t>
      </w:r>
      <w:r>
        <w:rPr>
          <w:rFonts w:ascii="仿宋" w:hAnsi="仿宋" w:eastAsia="仿宋"/>
          <w:sz w:val="24"/>
          <w:szCs w:val="24"/>
          <w:highlight w:val="yellow"/>
        </w:rPr>
        <w:t>：</w:t>
      </w:r>
      <w:r>
        <w:rPr>
          <w:rFonts w:hint="eastAsia" w:ascii="仿宋" w:hAnsi="仿宋" w:eastAsia="仿宋"/>
          <w:sz w:val="24"/>
          <w:szCs w:val="24"/>
          <w:highlight w:val="yellow"/>
        </w:rPr>
        <w:t>参与人所投响应文件应提供</w:t>
      </w:r>
      <w:r>
        <w:rPr>
          <w:rFonts w:ascii="仿宋" w:hAnsi="仿宋" w:eastAsia="仿宋"/>
          <w:sz w:val="24"/>
          <w:szCs w:val="24"/>
          <w:highlight w:val="yellow"/>
        </w:rPr>
        <w:t>正本：</w:t>
      </w:r>
      <w:r>
        <w:rPr>
          <w:rFonts w:hint="eastAsia" w:ascii="仿宋" w:hAnsi="仿宋" w:eastAsia="仿宋"/>
          <w:sz w:val="24"/>
          <w:szCs w:val="24"/>
          <w:highlight w:val="yellow"/>
        </w:rPr>
        <w:t>一</w:t>
      </w:r>
      <w:r>
        <w:rPr>
          <w:rFonts w:ascii="仿宋" w:hAnsi="仿宋" w:eastAsia="仿宋"/>
          <w:sz w:val="24"/>
          <w:szCs w:val="24"/>
          <w:highlight w:val="yellow"/>
        </w:rPr>
        <w:t>份，副本：</w:t>
      </w:r>
      <w:r>
        <w:rPr>
          <w:rFonts w:hint="eastAsia" w:ascii="仿宋" w:hAnsi="仿宋" w:eastAsia="仿宋"/>
          <w:sz w:val="24"/>
          <w:szCs w:val="24"/>
          <w:highlight w:val="yellow"/>
        </w:rPr>
        <w:t>两</w:t>
      </w:r>
      <w:r>
        <w:rPr>
          <w:rFonts w:ascii="仿宋" w:hAnsi="仿宋" w:eastAsia="仿宋"/>
          <w:sz w:val="24"/>
          <w:szCs w:val="24"/>
          <w:highlight w:val="yellow"/>
        </w:rPr>
        <w:t>份</w:t>
      </w:r>
      <w:r>
        <w:rPr>
          <w:rFonts w:hint="eastAsia" w:ascii="仿宋" w:hAnsi="仿宋" w:eastAsia="仿宋"/>
          <w:sz w:val="24"/>
          <w:szCs w:val="24"/>
          <w:highlight w:val="yellow"/>
        </w:rPr>
        <w:t>，</w:t>
      </w:r>
      <w:r>
        <w:rPr>
          <w:rFonts w:ascii="仿宋" w:hAnsi="仿宋" w:eastAsia="仿宋"/>
          <w:sz w:val="24"/>
          <w:szCs w:val="24"/>
          <w:highlight w:val="yellow"/>
        </w:rPr>
        <w:t>文件必须用A4幅面纸张打印</w:t>
      </w:r>
      <w:r>
        <w:rPr>
          <w:rFonts w:hint="eastAsia" w:ascii="仿宋" w:hAnsi="仿宋" w:eastAsia="仿宋"/>
          <w:sz w:val="24"/>
          <w:szCs w:val="24"/>
          <w:highlight w:val="yellow"/>
          <w:lang w:eastAsia="zh-CN"/>
        </w:rPr>
        <w:t>并且独立密封</w:t>
      </w:r>
      <w:r>
        <w:rPr>
          <w:rFonts w:ascii="仿宋" w:hAnsi="仿宋" w:eastAsia="仿宋"/>
          <w:sz w:val="24"/>
          <w:szCs w:val="24"/>
          <w:highlight w:val="yellow"/>
        </w:rPr>
        <w:t>应编制封面、目录、页码</w:t>
      </w:r>
      <w:r>
        <w:rPr>
          <w:rFonts w:hint="eastAsia" w:ascii="仿宋" w:hAnsi="仿宋" w:eastAsia="仿宋"/>
          <w:sz w:val="24"/>
          <w:szCs w:val="24"/>
          <w:highlight w:val="yellow"/>
        </w:rPr>
        <w:t>，</w:t>
      </w:r>
      <w:r>
        <w:rPr>
          <w:rFonts w:ascii="仿宋" w:hAnsi="仿宋" w:eastAsia="仿宋"/>
          <w:sz w:val="24"/>
          <w:szCs w:val="24"/>
          <w:highlight w:val="yellow"/>
        </w:rPr>
        <w:t>必须用线装或胶装（为永久性、无破坏不可拆分）装订成册，</w:t>
      </w:r>
      <w:r>
        <w:rPr>
          <w:rFonts w:ascii="仿宋" w:hAnsi="仿宋" w:eastAsia="仿宋"/>
          <w:b/>
          <w:sz w:val="24"/>
          <w:szCs w:val="24"/>
          <w:highlight w:val="yellow"/>
        </w:rPr>
        <w:t>在相应位置加盖公章</w:t>
      </w:r>
      <w:r>
        <w:rPr>
          <w:rFonts w:ascii="仿宋" w:hAnsi="仿宋" w:eastAsia="仿宋"/>
          <w:sz w:val="24"/>
          <w:szCs w:val="24"/>
          <w:highlight w:val="yellow"/>
        </w:rPr>
        <w:t>，副本内容可以用正本的完整复印件。</w:t>
      </w:r>
      <w:r>
        <w:rPr>
          <w:rFonts w:hint="eastAsia" w:ascii="仿宋" w:hAnsi="仿宋" w:eastAsia="仿宋"/>
          <w:sz w:val="24"/>
          <w:szCs w:val="24"/>
          <w:highlight w:val="yellow"/>
        </w:rPr>
        <w:t>响应</w:t>
      </w:r>
      <w:r>
        <w:rPr>
          <w:rFonts w:ascii="仿宋" w:hAnsi="仿宋" w:eastAsia="仿宋"/>
          <w:sz w:val="24"/>
          <w:szCs w:val="24"/>
          <w:highlight w:val="yellow"/>
        </w:rPr>
        <w:t>文件封面应标明“正本”、“副本”字样。正本与副本如有不一致，则以正本为准。</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hint="eastAsia"/>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0"/>
          <w:numId w:val="0"/>
        </w:numPr>
        <w:spacing w:after="0" w:line="500" w:lineRule="exact"/>
        <w:ind w:firstLine="480" w:firstLineChars="200"/>
        <w:rPr>
          <w:rFonts w:hint="default" w:eastAsia="仿宋"/>
          <w:lang w:val="en-US" w:eastAsia="zh-CN"/>
        </w:rPr>
      </w:pPr>
      <w:r>
        <w:rPr>
          <w:rFonts w:hint="eastAsia" w:ascii="仿宋" w:hAnsi="仿宋" w:eastAsia="仿宋"/>
          <w:sz w:val="24"/>
          <w:szCs w:val="24"/>
          <w:lang w:val="en-US" w:eastAsia="zh-CN"/>
        </w:rPr>
        <w:t>6.</w:t>
      </w: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pStyle w:val="54"/>
        <w:widowControl w:val="0"/>
        <w:numPr>
          <w:ilvl w:val="3"/>
          <w:numId w:val="4"/>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质保期:</w:t>
      </w:r>
      <w:r>
        <w:rPr>
          <w:rFonts w:hint="eastAsia" w:ascii="仿宋" w:hAnsi="仿宋" w:eastAsia="仿宋"/>
          <w:sz w:val="24"/>
          <w:szCs w:val="24"/>
          <w:lang w:val="en-US" w:eastAsia="zh-CN"/>
        </w:rPr>
        <w:t>12</w:t>
      </w:r>
      <w:r>
        <w:rPr>
          <w:rFonts w:hint="eastAsia" w:ascii="仿宋" w:hAnsi="仿宋" w:eastAsia="仿宋"/>
          <w:sz w:val="24"/>
          <w:szCs w:val="24"/>
        </w:rPr>
        <w:t>个月</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应急维修时间安排：</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维修地点、地址、联系电话及联系人员：</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维修服务收费标准：</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四、确定成交参与人标准及原则：</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本项目为自有资金而非财政性资金采购，采购人按企业内部规定的标准进行评定</w:t>
      </w:r>
      <w:r>
        <w:rPr>
          <w:rFonts w:ascii="仿宋" w:hAnsi="仿宋" w:eastAsia="仿宋"/>
          <w:sz w:val="24"/>
          <w:szCs w:val="24"/>
        </w:rPr>
        <w:t xml:space="preserve"> </w:t>
      </w:r>
      <w:r>
        <w:rPr>
          <w:rFonts w:hint="eastAsia" w:ascii="仿宋" w:hAnsi="仿宋" w:eastAsia="仿宋"/>
          <w:sz w:val="24"/>
          <w:szCs w:val="24"/>
        </w:rPr>
        <w:t>。</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参与人所投物品符合需求、质量和服务等的要求,经过磋商所报价格为合理价格的参与人为成交参与人。</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left="851" w:firstLine="0" w:firstLineChars="0"/>
        <w:jc w:val="left"/>
        <w:rPr>
          <w:rFonts w:ascii="仿宋" w:hAnsi="仿宋" w:eastAsia="仿宋"/>
          <w:sz w:val="24"/>
          <w:szCs w:val="24"/>
        </w:rPr>
      </w:pPr>
    </w:p>
    <w:p>
      <w:pPr>
        <w:pStyle w:val="54"/>
        <w:spacing w:after="0" w:line="500" w:lineRule="exact"/>
        <w:ind w:firstLine="6480" w:firstLineChars="2700"/>
        <w:jc w:val="left"/>
        <w:rPr>
          <w:rFonts w:ascii="仿宋" w:hAnsi="仿宋" w:eastAsia="仿宋"/>
          <w:sz w:val="24"/>
          <w:szCs w:val="24"/>
        </w:rPr>
      </w:pPr>
      <w:r>
        <w:rPr>
          <w:rFonts w:hint="eastAsia" w:ascii="仿宋" w:hAnsi="仿宋" w:eastAsia="仿宋"/>
          <w:sz w:val="24"/>
          <w:szCs w:val="24"/>
          <w:lang w:eastAsia="zh-CN"/>
        </w:rPr>
        <w:t>郑州城轨交通中等专业</w:t>
      </w:r>
      <w:r>
        <w:rPr>
          <w:rFonts w:hint="eastAsia" w:ascii="仿宋" w:hAnsi="仿宋" w:eastAsia="仿宋"/>
          <w:sz w:val="24"/>
          <w:szCs w:val="24"/>
        </w:rPr>
        <w:t>学校</w:t>
      </w:r>
    </w:p>
    <w:p>
      <w:pPr>
        <w:pStyle w:val="54"/>
        <w:spacing w:after="0" w:line="500" w:lineRule="exact"/>
        <w:ind w:left="7371" w:firstLine="0" w:firstLineChars="0"/>
        <w:jc w:val="left"/>
        <w:rPr>
          <w:rFonts w:ascii="仿宋" w:hAnsi="仿宋" w:eastAsia="仿宋"/>
          <w:sz w:val="24"/>
          <w:szCs w:val="24"/>
        </w:rPr>
      </w:pPr>
      <w:r>
        <w:rPr>
          <w:rFonts w:hint="eastAsia" w:ascii="仿宋" w:hAnsi="仿宋" w:eastAsia="仿宋"/>
          <w:sz w:val="24"/>
          <w:szCs w:val="24"/>
          <w:lang w:val="en-US" w:eastAsia="zh-CN"/>
        </w:rPr>
        <w:t>2026</w:t>
      </w:r>
      <w:r>
        <w:rPr>
          <w:rFonts w:hint="eastAsia" w:ascii="仿宋" w:hAnsi="仿宋" w:eastAsia="仿宋"/>
          <w:sz w:val="24"/>
          <w:szCs w:val="24"/>
        </w:rPr>
        <w:t>年</w:t>
      </w:r>
      <w:r>
        <w:rPr>
          <w:rFonts w:hint="eastAsia" w:ascii="仿宋" w:hAnsi="仿宋" w:eastAsia="仿宋"/>
          <w:sz w:val="24"/>
          <w:szCs w:val="24"/>
          <w:lang w:val="en-US" w:eastAsia="zh-CN"/>
        </w:rPr>
        <w:t>1</w:t>
      </w:r>
      <w:r>
        <w:rPr>
          <w:rFonts w:hint="eastAsia" w:ascii="仿宋" w:hAnsi="仿宋" w:eastAsia="仿宋"/>
          <w:sz w:val="24"/>
          <w:szCs w:val="24"/>
        </w:rPr>
        <w:t>月</w:t>
      </w:r>
      <w:r>
        <w:rPr>
          <w:rFonts w:hint="eastAsia" w:ascii="仿宋" w:hAnsi="仿宋" w:eastAsia="仿宋"/>
          <w:sz w:val="24"/>
          <w:szCs w:val="24"/>
          <w:lang w:val="en-US" w:eastAsia="zh-CN"/>
        </w:rPr>
        <w:t>7</w:t>
      </w:r>
      <w:r>
        <w:rPr>
          <w:rFonts w:hint="eastAsia" w:ascii="仿宋" w:hAnsi="仿宋" w:eastAsia="仿宋"/>
          <w:sz w:val="24"/>
          <w:szCs w:val="24"/>
        </w:rPr>
        <w:t>日</w:t>
      </w:r>
    </w:p>
    <w:p>
      <w:pPr>
        <w:pStyle w:val="54"/>
        <w:spacing w:after="0" w:line="500" w:lineRule="exact"/>
        <w:ind w:left="851" w:firstLine="0" w:firstLineChars="0"/>
        <w:jc w:val="center"/>
        <w:rPr>
          <w:rFonts w:ascii="仿宋" w:hAnsi="仿宋" w:eastAsia="仿宋"/>
          <w:color w:val="auto"/>
          <w:sz w:val="24"/>
          <w:szCs w:val="24"/>
        </w:rPr>
      </w:pPr>
      <w:r>
        <w:rPr>
          <w:rFonts w:ascii="仿宋" w:hAnsi="仿宋" w:eastAsia="仿宋"/>
          <w:color w:val="FF0000"/>
          <w:sz w:val="28"/>
          <w:szCs w:val="28"/>
        </w:rPr>
        <w:br w:type="page"/>
      </w:r>
      <w:bookmarkEnd w:id="45"/>
      <w:r>
        <w:rPr>
          <w:rFonts w:hint="eastAsia" w:ascii="仿宋" w:hAnsi="仿宋" w:eastAsia="仿宋"/>
          <w:b/>
          <w:color w:val="auto"/>
          <w:sz w:val="44"/>
          <w:szCs w:val="44"/>
        </w:rPr>
        <w:t>公开询价货物一览表</w:t>
      </w:r>
      <w:bookmarkEnd w:id="46"/>
    </w:p>
    <w:p>
      <w:pPr>
        <w:spacing w:line="420" w:lineRule="exact"/>
        <w:jc w:val="center"/>
        <w:rPr>
          <w:rFonts w:ascii="仿宋" w:hAnsi="仿宋" w:eastAsia="仿宋"/>
          <w:b/>
          <w:color w:val="FF0000"/>
          <w:sz w:val="32"/>
          <w:szCs w:val="32"/>
        </w:rPr>
      </w:pPr>
    </w:p>
    <w:tbl>
      <w:tblPr>
        <w:tblStyle w:val="23"/>
        <w:tblW w:w="5110" w:type="pct"/>
        <w:tblInd w:w="0" w:type="dxa"/>
        <w:tblLayout w:type="fixed"/>
        <w:tblCellMar>
          <w:top w:w="0" w:type="dxa"/>
          <w:left w:w="108" w:type="dxa"/>
          <w:bottom w:w="0" w:type="dxa"/>
          <w:right w:w="108" w:type="dxa"/>
        </w:tblCellMar>
      </w:tblPr>
      <w:tblGrid>
        <w:gridCol w:w="578"/>
        <w:gridCol w:w="988"/>
        <w:gridCol w:w="2595"/>
        <w:gridCol w:w="945"/>
        <w:gridCol w:w="825"/>
        <w:gridCol w:w="900"/>
        <w:gridCol w:w="960"/>
        <w:gridCol w:w="930"/>
        <w:gridCol w:w="1495"/>
      </w:tblGrid>
      <w:tr>
        <w:tblPrEx>
          <w:tblCellMar>
            <w:top w:w="0" w:type="dxa"/>
            <w:left w:w="108" w:type="dxa"/>
            <w:bottom w:w="0" w:type="dxa"/>
            <w:right w:w="108" w:type="dxa"/>
          </w:tblCellMar>
        </w:tblPrEx>
        <w:trPr>
          <w:trHeight w:val="492" w:hRule="atLeast"/>
        </w:trPr>
        <w:tc>
          <w:tcPr>
            <w:tcW w:w="282"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序号</w:t>
            </w:r>
          </w:p>
        </w:tc>
        <w:tc>
          <w:tcPr>
            <w:tcW w:w="483"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lang w:eastAsia="zh-CN"/>
              </w:rPr>
              <w:t>产品</w:t>
            </w:r>
            <w:r>
              <w:rPr>
                <w:rFonts w:hint="eastAsia" w:ascii="仿宋" w:hAnsi="仿宋" w:eastAsia="仿宋" w:cs="Tahoma"/>
                <w:b/>
                <w:bCs/>
                <w:color w:val="000000"/>
                <w:sz w:val="20"/>
                <w:szCs w:val="20"/>
              </w:rPr>
              <w:t>名称</w:t>
            </w:r>
          </w:p>
        </w:tc>
        <w:tc>
          <w:tcPr>
            <w:tcW w:w="127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bookmarkStart w:id="48" w:name="_Hlk78721021"/>
            <w:r>
              <w:rPr>
                <w:rFonts w:hint="eastAsia" w:ascii="仿宋" w:hAnsi="仿宋" w:eastAsia="仿宋" w:cs="Tahoma"/>
                <w:b/>
                <w:bCs/>
                <w:color w:val="000000"/>
                <w:sz w:val="20"/>
                <w:szCs w:val="20"/>
              </w:rPr>
              <w:t>规格型</w:t>
            </w:r>
            <w:bookmarkEnd w:id="48"/>
            <w:r>
              <w:rPr>
                <w:rFonts w:hint="eastAsia" w:ascii="仿宋" w:hAnsi="仿宋" w:eastAsia="仿宋" w:cs="Tahoma"/>
                <w:b/>
                <w:bCs/>
                <w:color w:val="000000"/>
                <w:sz w:val="20"/>
                <w:szCs w:val="20"/>
              </w:rPr>
              <w:t>号</w:t>
            </w:r>
          </w:p>
        </w:tc>
        <w:tc>
          <w:tcPr>
            <w:tcW w:w="462"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单位</w:t>
            </w:r>
          </w:p>
        </w:tc>
        <w:tc>
          <w:tcPr>
            <w:tcW w:w="403"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数量</w:t>
            </w:r>
          </w:p>
        </w:tc>
        <w:tc>
          <w:tcPr>
            <w:tcW w:w="44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单价（元）</w:t>
            </w:r>
          </w:p>
        </w:tc>
        <w:tc>
          <w:tcPr>
            <w:tcW w:w="469"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总价（元）</w:t>
            </w:r>
          </w:p>
        </w:tc>
        <w:tc>
          <w:tcPr>
            <w:tcW w:w="455"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是否提供样品</w:t>
            </w:r>
          </w:p>
        </w:tc>
        <w:tc>
          <w:tcPr>
            <w:tcW w:w="731"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备注</w:t>
            </w:r>
          </w:p>
        </w:tc>
      </w:tr>
      <w:tr>
        <w:tblPrEx>
          <w:tblCellMar>
            <w:top w:w="0" w:type="dxa"/>
            <w:left w:w="108" w:type="dxa"/>
            <w:bottom w:w="0" w:type="dxa"/>
            <w:right w:w="108" w:type="dxa"/>
          </w:tblCellMar>
        </w:tblPrEx>
        <w:trPr>
          <w:trHeight w:val="779" w:hRule="atLeast"/>
        </w:trPr>
        <w:tc>
          <w:tcPr>
            <w:tcW w:w="282"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4"/>
                <w:szCs w:val="24"/>
              </w:rPr>
            </w:pPr>
            <w:r>
              <w:rPr>
                <w:rFonts w:hint="eastAsia" w:ascii="仿宋" w:hAnsi="仿宋" w:eastAsia="仿宋" w:cs="Tahoma"/>
                <w:color w:val="000000"/>
                <w:sz w:val="24"/>
                <w:szCs w:val="24"/>
              </w:rPr>
              <w:t>1</w:t>
            </w:r>
          </w:p>
        </w:tc>
        <w:tc>
          <w:tcPr>
            <w:tcW w:w="483" w:type="pct"/>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Tahoma"/>
                <w:color w:val="000000"/>
                <w:sz w:val="24"/>
                <w:szCs w:val="24"/>
                <w:lang w:eastAsia="zh-CN"/>
              </w:rPr>
            </w:pPr>
            <w:r>
              <w:rPr>
                <w:rFonts w:hint="eastAsia" w:ascii="仿宋" w:hAnsi="仿宋" w:eastAsia="仿宋" w:cs="Tahoma"/>
                <w:color w:val="000000"/>
                <w:sz w:val="24"/>
                <w:szCs w:val="24"/>
                <w:lang w:eastAsia="zh-CN"/>
              </w:rPr>
              <w:t>行李箱</w:t>
            </w:r>
          </w:p>
        </w:tc>
        <w:tc>
          <w:tcPr>
            <w:tcW w:w="1270" w:type="pct"/>
            <w:tcBorders>
              <w:top w:val="nil"/>
              <w:left w:val="nil"/>
              <w:bottom w:val="single" w:color="auto" w:sz="4" w:space="0"/>
              <w:right w:val="single" w:color="auto" w:sz="4" w:space="0"/>
            </w:tcBorders>
            <w:shd w:val="clear" w:color="000000" w:fill="FFFFFF"/>
            <w:vAlign w:val="center"/>
          </w:tcPr>
          <w:p>
            <w:pPr>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产品材质：</w:t>
            </w:r>
            <w:r>
              <w:rPr>
                <w:rFonts w:hint="eastAsia" w:ascii="仿宋" w:hAnsi="仿宋" w:eastAsia="仿宋" w:cs="Tahoma"/>
                <w:color w:val="000000"/>
                <w:sz w:val="24"/>
                <w:szCs w:val="24"/>
                <w:lang w:val="en-US" w:eastAsia="zh-CN"/>
              </w:rPr>
              <w:t>ABS+PC</w:t>
            </w:r>
          </w:p>
          <w:p>
            <w:pPr>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2.产品滚轮：360°万向轮</w:t>
            </w:r>
          </w:p>
          <w:p>
            <w:pPr>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3.产品锁具：三位数密码锁</w:t>
            </w:r>
          </w:p>
          <w:p>
            <w:pPr>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4.产品尺寸：24寸</w:t>
            </w:r>
          </w:p>
          <w:p>
            <w:pPr>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5.颜色：多种</w:t>
            </w:r>
          </w:p>
        </w:tc>
        <w:tc>
          <w:tcPr>
            <w:tcW w:w="462" w:type="pct"/>
            <w:tcBorders>
              <w:top w:val="nil"/>
              <w:left w:val="nil"/>
              <w:bottom w:val="single" w:color="auto" w:sz="4" w:space="0"/>
              <w:right w:val="single" w:color="auto" w:sz="4" w:space="0"/>
            </w:tcBorders>
            <w:vAlign w:val="center"/>
          </w:tcPr>
          <w:p>
            <w:pPr>
              <w:jc w:val="center"/>
              <w:rPr>
                <w:rFonts w:hint="eastAsia" w:ascii="仿宋" w:hAnsi="仿宋" w:eastAsia="仿宋" w:cs="Tahoma"/>
                <w:color w:val="000000"/>
                <w:sz w:val="24"/>
                <w:szCs w:val="24"/>
                <w:lang w:eastAsia="zh-CN"/>
              </w:rPr>
            </w:pPr>
            <w:r>
              <w:rPr>
                <w:rFonts w:hint="eastAsia" w:ascii="仿宋" w:hAnsi="仿宋" w:eastAsia="仿宋" w:cs="Tahoma"/>
                <w:color w:val="000000"/>
                <w:sz w:val="24"/>
                <w:szCs w:val="24"/>
                <w:lang w:eastAsia="zh-CN"/>
              </w:rPr>
              <w:t>个</w:t>
            </w:r>
          </w:p>
        </w:tc>
        <w:tc>
          <w:tcPr>
            <w:tcW w:w="403" w:type="pct"/>
            <w:tcBorders>
              <w:top w:val="nil"/>
              <w:left w:val="nil"/>
              <w:bottom w:val="single" w:color="auto" w:sz="4" w:space="0"/>
              <w:right w:val="single" w:color="auto" w:sz="4" w:space="0"/>
            </w:tcBorders>
            <w:vAlign w:val="center"/>
          </w:tcPr>
          <w:p>
            <w:pPr>
              <w:jc w:val="center"/>
              <w:rPr>
                <w:rFonts w:hint="default"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1000</w:t>
            </w:r>
          </w:p>
        </w:tc>
        <w:tc>
          <w:tcPr>
            <w:tcW w:w="44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4"/>
                <w:szCs w:val="24"/>
              </w:rPr>
            </w:pPr>
          </w:p>
        </w:tc>
        <w:tc>
          <w:tcPr>
            <w:tcW w:w="469"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4"/>
                <w:szCs w:val="24"/>
              </w:rPr>
            </w:pPr>
          </w:p>
        </w:tc>
        <w:tc>
          <w:tcPr>
            <w:tcW w:w="455"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4"/>
                <w:szCs w:val="24"/>
              </w:rPr>
            </w:pPr>
            <w:r>
              <w:rPr>
                <w:rFonts w:hint="eastAsia" w:ascii="仿宋" w:hAnsi="仿宋" w:eastAsia="仿宋" w:cs="Tahoma"/>
                <w:color w:val="auto"/>
                <w:sz w:val="24"/>
                <w:szCs w:val="24"/>
              </w:rPr>
              <w:t>是</w:t>
            </w:r>
          </w:p>
        </w:tc>
        <w:tc>
          <w:tcPr>
            <w:tcW w:w="731" w:type="pct"/>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4"/>
                <w:szCs w:val="24"/>
                <w:lang w:val="en-US" w:eastAsia="zh-CN"/>
              </w:rPr>
            </w:pPr>
            <w:r>
              <w:rPr>
                <w:rFonts w:hint="eastAsia" w:ascii="仿宋" w:hAnsi="仿宋" w:eastAsia="仿宋" w:cs="Tahoma"/>
                <w:color w:val="000000"/>
                <w:sz w:val="24"/>
                <w:szCs w:val="24"/>
                <w:lang w:eastAsia="zh-CN"/>
              </w:rPr>
              <w:t>需印制学校</w:t>
            </w:r>
            <w:r>
              <w:rPr>
                <w:rFonts w:hint="eastAsia" w:ascii="仿宋" w:hAnsi="仿宋" w:eastAsia="仿宋" w:cs="Tahoma"/>
                <w:color w:val="000000"/>
                <w:sz w:val="24"/>
                <w:szCs w:val="24"/>
                <w:lang w:val="en-US" w:eastAsia="zh-CN"/>
              </w:rPr>
              <w:t>LOGO,最高限价200元</w:t>
            </w:r>
          </w:p>
        </w:tc>
      </w:tr>
      <w:tr>
        <w:tblPrEx>
          <w:tblCellMar>
            <w:top w:w="0" w:type="dxa"/>
            <w:left w:w="108" w:type="dxa"/>
            <w:bottom w:w="0" w:type="dxa"/>
            <w:right w:w="108" w:type="dxa"/>
          </w:tblCellMar>
        </w:tblPrEx>
        <w:trPr>
          <w:trHeight w:val="794" w:hRule="atLeast"/>
        </w:trPr>
        <w:tc>
          <w:tcPr>
            <w:tcW w:w="3343" w:type="pct"/>
            <w:gridSpan w:val="6"/>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eastAsia" w:ascii="仿宋" w:hAnsi="仿宋" w:eastAsia="仿宋" w:cs="Tahoma"/>
                <w:color w:val="000000"/>
                <w:sz w:val="24"/>
                <w:szCs w:val="24"/>
                <w:lang w:eastAsia="zh-CN"/>
              </w:rPr>
            </w:pPr>
            <w:r>
              <w:rPr>
                <w:rFonts w:hint="eastAsia" w:ascii="仿宋" w:hAnsi="仿宋" w:eastAsia="仿宋" w:cs="Tahoma"/>
                <w:color w:val="000000"/>
                <w:sz w:val="24"/>
                <w:szCs w:val="24"/>
                <w:lang w:eastAsia="zh-CN"/>
              </w:rPr>
              <w:t>合计</w:t>
            </w:r>
          </w:p>
        </w:tc>
        <w:tc>
          <w:tcPr>
            <w:tcW w:w="1656" w:type="pct"/>
            <w:gridSpan w:val="3"/>
            <w:tcBorders>
              <w:top w:val="single" w:color="auto" w:sz="4" w:space="0"/>
              <w:left w:val="single" w:color="auto" w:sz="4" w:space="0"/>
              <w:bottom w:val="single" w:color="auto" w:sz="4" w:space="0"/>
              <w:right w:val="single" w:color="auto" w:sz="4" w:space="0"/>
            </w:tcBorders>
            <w:vAlign w:val="center"/>
          </w:tcPr>
          <w:p>
            <w:pPr>
              <w:jc w:val="both"/>
              <w:rPr>
                <w:rFonts w:ascii="仿宋" w:hAnsi="仿宋" w:eastAsia="仿宋" w:cs="Tahoma"/>
                <w:color w:val="000000"/>
                <w:sz w:val="24"/>
                <w:szCs w:val="24"/>
              </w:rPr>
            </w:pPr>
          </w:p>
        </w:tc>
      </w:tr>
      <w:tr>
        <w:tblPrEx>
          <w:tblCellMar>
            <w:top w:w="0" w:type="dxa"/>
            <w:left w:w="108" w:type="dxa"/>
            <w:bottom w:w="0" w:type="dxa"/>
            <w:right w:w="108" w:type="dxa"/>
          </w:tblCellMar>
        </w:tblPrEx>
        <w:trPr>
          <w:trHeight w:val="1259" w:hRule="atLeast"/>
        </w:trPr>
        <w:tc>
          <w:tcPr>
            <w:tcW w:w="5000" w:type="pct"/>
            <w:gridSpan w:val="9"/>
            <w:tcBorders>
              <w:top w:val="single" w:color="auto" w:sz="4" w:space="0"/>
              <w:left w:val="single" w:color="auto" w:sz="4" w:space="0"/>
              <w:bottom w:val="single" w:color="auto" w:sz="4" w:space="0"/>
              <w:right w:val="single" w:color="auto" w:sz="4" w:space="0"/>
            </w:tcBorders>
            <w:shd w:val="clear" w:color="000000" w:fill="FFFFFF"/>
            <w:vAlign w:val="center"/>
          </w:tcPr>
          <w:p>
            <w:pPr>
              <w:numPr>
                <w:ilvl w:val="0"/>
                <w:numId w:val="6"/>
              </w:numPr>
              <w:spacing w:after="0" w:line="400" w:lineRule="exact"/>
              <w:rPr>
                <w:rFonts w:hint="eastAsia" w:ascii="仿宋" w:hAnsi="仿宋" w:eastAsia="仿宋" w:cs="仿宋"/>
                <w:color w:val="auto"/>
                <w:sz w:val="24"/>
                <w:szCs w:val="24"/>
              </w:rPr>
            </w:pPr>
            <w:r>
              <w:rPr>
                <w:rFonts w:hint="eastAsia" w:ascii="仿宋" w:hAnsi="仿宋" w:eastAsia="仿宋" w:cs="仿宋"/>
                <w:color w:val="auto"/>
                <w:sz w:val="24"/>
                <w:szCs w:val="24"/>
              </w:rPr>
              <w:t>付款方式：货物到达指定位置验收合格后</w:t>
            </w:r>
            <w:r>
              <w:rPr>
                <w:rFonts w:hint="eastAsia" w:ascii="仿宋" w:hAnsi="仿宋" w:eastAsia="仿宋" w:cs="仿宋"/>
                <w:color w:val="auto"/>
                <w:sz w:val="24"/>
                <w:szCs w:val="24"/>
                <w:u w:val="single"/>
              </w:rPr>
              <w:t>30</w:t>
            </w:r>
            <w:r>
              <w:rPr>
                <w:rFonts w:hint="eastAsia" w:ascii="仿宋" w:hAnsi="仿宋" w:eastAsia="仿宋" w:cs="仿宋"/>
                <w:color w:val="auto"/>
                <w:sz w:val="24"/>
                <w:szCs w:val="24"/>
              </w:rPr>
              <w:t>个工作日内，支付验收合格</w:t>
            </w:r>
            <w:r>
              <w:rPr>
                <w:rFonts w:hint="eastAsia" w:ascii="仿宋" w:hAnsi="仿宋" w:eastAsia="仿宋" w:cs="仿宋"/>
                <w:color w:val="auto"/>
                <w:sz w:val="24"/>
                <w:szCs w:val="24"/>
                <w:lang w:eastAsia="zh-CN"/>
              </w:rPr>
              <w:t>物资</w:t>
            </w:r>
            <w:r>
              <w:rPr>
                <w:rFonts w:hint="eastAsia" w:ascii="仿宋" w:hAnsi="仿宋" w:eastAsia="仿宋" w:cs="仿宋"/>
                <w:color w:val="auto"/>
                <w:sz w:val="24"/>
                <w:szCs w:val="24"/>
              </w:rPr>
              <w:t>款的</w:t>
            </w:r>
            <w:r>
              <w:rPr>
                <w:rFonts w:hint="eastAsia" w:ascii="仿宋" w:hAnsi="仿宋" w:eastAsia="仿宋" w:cs="仿宋"/>
                <w:color w:val="auto"/>
                <w:sz w:val="24"/>
                <w:szCs w:val="24"/>
                <w:u w:val="single"/>
              </w:rPr>
              <w:t>95%</w:t>
            </w:r>
            <w:r>
              <w:rPr>
                <w:rFonts w:hint="eastAsia" w:ascii="仿宋" w:hAnsi="仿宋" w:eastAsia="仿宋" w:cs="仿宋"/>
                <w:color w:val="auto"/>
                <w:sz w:val="24"/>
                <w:szCs w:val="24"/>
              </w:rPr>
              <w:t>作为验收款；余款</w:t>
            </w:r>
            <w:r>
              <w:rPr>
                <w:rFonts w:hint="eastAsia" w:ascii="仿宋" w:hAnsi="仿宋" w:eastAsia="仿宋" w:cs="仿宋"/>
                <w:color w:val="auto"/>
                <w:sz w:val="24"/>
                <w:szCs w:val="24"/>
                <w:u w:val="single"/>
              </w:rPr>
              <w:t>5</w:t>
            </w:r>
            <w:r>
              <w:rPr>
                <w:rFonts w:hint="eastAsia" w:ascii="仿宋" w:hAnsi="仿宋" w:eastAsia="仿宋" w:cs="仿宋"/>
                <w:color w:val="auto"/>
                <w:sz w:val="24"/>
                <w:szCs w:val="24"/>
              </w:rPr>
              <w:t>%作为质保金在质保期满(验收合格之日起算)</w:t>
            </w:r>
            <w:r>
              <w:rPr>
                <w:rFonts w:hint="eastAsia" w:ascii="仿宋" w:hAnsi="仿宋" w:eastAsia="仿宋" w:cs="仿宋"/>
                <w:color w:val="auto"/>
                <w:sz w:val="24"/>
                <w:szCs w:val="24"/>
                <w:u w:val="single"/>
              </w:rPr>
              <w:t>15</w:t>
            </w:r>
            <w:r>
              <w:rPr>
                <w:rFonts w:hint="eastAsia" w:ascii="仿宋" w:hAnsi="仿宋" w:eastAsia="仿宋" w:cs="仿宋"/>
                <w:color w:val="auto"/>
                <w:sz w:val="24"/>
                <w:szCs w:val="24"/>
              </w:rPr>
              <w:t>个工作日内无息支付。 2.交货期：交货时间：</w:t>
            </w:r>
            <w:r>
              <w:rPr>
                <w:rFonts w:hint="eastAsia" w:ascii="仿宋" w:hAnsi="仿宋" w:eastAsia="仿宋" w:cs="仿宋"/>
                <w:color w:val="auto"/>
                <w:sz w:val="24"/>
                <w:szCs w:val="24"/>
                <w:u w:val="single"/>
              </w:rPr>
              <w:t>签订合同后15天</w:t>
            </w:r>
            <w:r>
              <w:rPr>
                <w:rFonts w:hint="eastAsia" w:ascii="仿宋" w:hAnsi="仿宋" w:eastAsia="仿宋" w:cs="仿宋"/>
                <w:color w:val="auto"/>
                <w:sz w:val="24"/>
                <w:szCs w:val="24"/>
              </w:rPr>
              <w:t>交货，到货检验合格后</w:t>
            </w:r>
            <w:r>
              <w:rPr>
                <w:rFonts w:hint="eastAsia" w:ascii="仿宋" w:hAnsi="仿宋" w:eastAsia="仿宋" w:cs="仿宋"/>
                <w:color w:val="auto"/>
                <w:sz w:val="24"/>
                <w:szCs w:val="24"/>
                <w:u w:val="single"/>
              </w:rPr>
              <w:t>7</w:t>
            </w:r>
            <w:r>
              <w:rPr>
                <w:rFonts w:hint="eastAsia" w:ascii="仿宋" w:hAnsi="仿宋" w:eastAsia="仿宋" w:cs="仿宋"/>
                <w:color w:val="auto"/>
                <w:sz w:val="24"/>
                <w:szCs w:val="24"/>
              </w:rPr>
              <w:t>个工作日内完成安装。</w:t>
            </w:r>
          </w:p>
          <w:p>
            <w:pPr>
              <w:jc w:val="both"/>
              <w:rPr>
                <w:rFonts w:ascii="仿宋" w:hAnsi="仿宋" w:eastAsia="仿宋" w:cs="Tahoma"/>
                <w:color w:val="000000"/>
                <w:sz w:val="20"/>
                <w:szCs w:val="20"/>
              </w:rPr>
            </w:pPr>
            <w:r>
              <w:rPr>
                <w:rFonts w:hint="eastAsia" w:ascii="仿宋" w:hAnsi="仿宋" w:eastAsia="仿宋" w:cs="仿宋"/>
                <w:color w:val="auto"/>
                <w:sz w:val="24"/>
                <w:szCs w:val="24"/>
              </w:rPr>
              <w:t>3.质保期：质保期为</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u w:val="single"/>
                <w:lang w:val="en-US" w:eastAsia="zh-CN"/>
              </w:rPr>
              <w:t>12</w:t>
            </w:r>
            <w:r>
              <w:rPr>
                <w:rFonts w:hint="eastAsia" w:ascii="仿宋" w:hAnsi="仿宋" w:eastAsia="仿宋" w:cs="仿宋"/>
                <w:color w:val="auto"/>
                <w:sz w:val="24"/>
                <w:szCs w:val="24"/>
              </w:rPr>
              <w:t>个月起，质保期内非人为损坏的需提供免费维保或更换。</w:t>
            </w:r>
          </w:p>
        </w:tc>
      </w:tr>
    </w:tbl>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7"/>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w:t>
      </w:r>
      <w:r>
        <w:rPr>
          <w:rFonts w:hint="eastAsia" w:ascii="仿宋" w:hAnsi="仿宋" w:eastAsia="仿宋"/>
          <w:bCs/>
          <w:sz w:val="24"/>
          <w:szCs w:val="24"/>
          <w:lang w:eastAsia="zh-CN"/>
        </w:rPr>
        <w:t>产品</w:t>
      </w:r>
      <w:r>
        <w:rPr>
          <w:rFonts w:hint="eastAsia" w:ascii="仿宋" w:hAnsi="仿宋" w:eastAsia="仿宋"/>
          <w:bCs/>
          <w:sz w:val="24"/>
          <w:szCs w:val="24"/>
        </w:rPr>
        <w:t>名称”、“规格型号”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7"/>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numPr>
          <w:ilvl w:val="0"/>
          <w:numId w:val="7"/>
        </w:numPr>
        <w:spacing w:after="0" w:line="440" w:lineRule="exact"/>
        <w:rPr>
          <w:rFonts w:ascii="仿宋" w:hAnsi="仿宋" w:eastAsia="仿宋"/>
          <w:bCs/>
          <w:sz w:val="24"/>
          <w:szCs w:val="24"/>
        </w:rPr>
      </w:pPr>
      <w:r>
        <w:rPr>
          <w:rFonts w:hint="eastAsia" w:ascii="仿宋" w:hAnsi="仿宋" w:eastAsia="仿宋"/>
          <w:bCs/>
          <w:sz w:val="24"/>
          <w:szCs w:val="24"/>
        </w:rPr>
        <w:t>参与人所投商品报价应包含税费、运输费、搬运费、整体实施、安装调试费、售后服务等一切费用。</w:t>
      </w:r>
    </w:p>
    <w:p>
      <w:pPr>
        <w:spacing w:line="500" w:lineRule="exact"/>
        <w:jc w:val="left"/>
        <w:rPr>
          <w:rFonts w:ascii="仿宋" w:hAnsi="仿宋" w:eastAsia="仿宋"/>
          <w:b/>
          <w:color w:val="FF0000"/>
          <w:sz w:val="36"/>
          <w:szCs w:val="36"/>
        </w:rPr>
      </w:pPr>
    </w:p>
    <w:p>
      <w:pPr>
        <w:pStyle w:val="2"/>
        <w:rPr>
          <w:rFonts w:hint="eastAsia" w:ascii="仿宋" w:hAnsi="仿宋" w:eastAsia="仿宋"/>
          <w:b w:val="0"/>
          <w:bCs/>
          <w:color w:val="auto"/>
          <w:sz w:val="28"/>
          <w:szCs w:val="28"/>
          <w:lang w:eastAsia="zh-CN"/>
        </w:rPr>
      </w:pPr>
      <w:r>
        <w:rPr>
          <w:rFonts w:hint="eastAsia" w:ascii="仿宋" w:hAnsi="仿宋" w:eastAsia="仿宋"/>
          <w:b w:val="0"/>
          <w:bCs/>
          <w:color w:val="auto"/>
          <w:sz w:val="28"/>
          <w:szCs w:val="28"/>
          <w:lang w:eastAsia="zh-CN"/>
        </w:rPr>
        <w:t>附样品照片：</w:t>
      </w:r>
      <w:r>
        <w:rPr>
          <w:rFonts w:hint="eastAsia" w:ascii="仿宋" w:hAnsi="仿宋" w:eastAsia="仿宋"/>
          <w:b w:val="0"/>
          <w:bCs/>
          <w:color w:val="auto"/>
          <w:sz w:val="28"/>
          <w:szCs w:val="28"/>
          <w:lang w:eastAsia="zh-CN"/>
        </w:rPr>
        <w:br w:type="textWrapping"/>
      </w:r>
      <w:r>
        <w:rPr>
          <w:rFonts w:hint="eastAsia" w:ascii="仿宋" w:hAnsi="仿宋" w:eastAsia="仿宋"/>
          <w:b w:val="0"/>
          <w:bCs/>
          <w:color w:val="auto"/>
          <w:sz w:val="28"/>
          <w:szCs w:val="28"/>
          <w:lang w:eastAsia="zh-CN"/>
        </w:rPr>
        <w:drawing>
          <wp:inline distT="0" distB="0" distL="114300" distR="114300">
            <wp:extent cx="5451475" cy="7270750"/>
            <wp:effectExtent l="0" t="0" r="15875" b="6350"/>
            <wp:docPr id="6" name="图片 6" descr="388160d1106e858b8fe12ccfb45aa6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388160d1106e858b8fe12ccfb45aa6f"/>
                    <pic:cNvPicPr>
                      <a:picLocks noChangeAspect="1"/>
                    </pic:cNvPicPr>
                  </pic:nvPicPr>
                  <pic:blipFill>
                    <a:blip r:embed="rId9"/>
                    <a:stretch>
                      <a:fillRect/>
                    </a:stretch>
                  </pic:blipFill>
                  <pic:spPr>
                    <a:xfrm>
                      <a:off x="0" y="0"/>
                      <a:ext cx="5451475" cy="7270750"/>
                    </a:xfrm>
                    <a:prstGeom prst="rect">
                      <a:avLst/>
                    </a:prstGeom>
                  </pic:spPr>
                </pic:pic>
              </a:graphicData>
            </a:graphic>
          </wp:inline>
        </w:drawing>
      </w:r>
    </w:p>
    <w:p>
      <w:pPr>
        <w:pStyle w:val="2"/>
        <w:rPr>
          <w:rFonts w:hint="eastAsia" w:ascii="仿宋" w:hAnsi="仿宋" w:eastAsia="仿宋"/>
          <w:b w:val="0"/>
          <w:bCs/>
          <w:color w:val="auto"/>
          <w:sz w:val="28"/>
          <w:szCs w:val="28"/>
          <w:lang w:eastAsia="zh-CN"/>
        </w:rPr>
      </w:pPr>
    </w:p>
    <w:p>
      <w:pPr>
        <w:pStyle w:val="2"/>
        <w:rPr>
          <w:rFonts w:hint="eastAsia" w:ascii="仿宋" w:hAnsi="仿宋" w:eastAsia="仿宋"/>
          <w:b w:val="0"/>
          <w:bCs/>
          <w:color w:val="auto"/>
          <w:sz w:val="28"/>
          <w:szCs w:val="28"/>
          <w:lang w:eastAsia="zh-CN"/>
        </w:rPr>
      </w:pPr>
    </w:p>
    <w:p>
      <w:pPr>
        <w:pStyle w:val="2"/>
        <w:rPr>
          <w:rFonts w:hint="eastAsia" w:ascii="仿宋" w:hAnsi="仿宋" w:eastAsia="仿宋"/>
          <w:b w:val="0"/>
          <w:bCs/>
          <w:color w:val="auto"/>
          <w:sz w:val="28"/>
          <w:szCs w:val="28"/>
          <w:lang w:eastAsia="zh-CN"/>
        </w:rPr>
      </w:pPr>
    </w:p>
    <w:p>
      <w:pPr>
        <w:rPr>
          <w:rFonts w:ascii="仿宋" w:hAnsi="仿宋" w:eastAsia="仿宋"/>
          <w:b/>
          <w:color w:val="FF0000"/>
          <w:sz w:val="36"/>
          <w:szCs w:val="36"/>
        </w:rPr>
        <w:sectPr>
          <w:headerReference r:id="rId4" w:type="first"/>
          <w:headerReference r:id="rId3" w:type="default"/>
          <w:pgSz w:w="11906" w:h="16838"/>
          <w:pgMar w:top="1440" w:right="1133" w:bottom="1440" w:left="993" w:header="851" w:footer="227" w:gutter="0"/>
          <w:pgBorders>
            <w:top w:val="none" w:sz="0" w:space="0"/>
            <w:left w:val="none" w:sz="0" w:space="0"/>
            <w:bottom w:val="none" w:sz="0" w:space="0"/>
            <w:right w:val="none" w:sz="0" w:space="0"/>
          </w:pgBorders>
          <w:cols w:space="425" w:num="1"/>
          <w:titlePg/>
          <w:docGrid w:type="lines" w:linePitch="312" w:charSpace="0"/>
        </w:sectPr>
      </w:pPr>
    </w:p>
    <w:p>
      <w:pPr>
        <w:rPr>
          <w:rFonts w:ascii="仿宋" w:hAnsi="仿宋" w:eastAsia="仿宋"/>
          <w:b/>
          <w:color w:val="FF0000"/>
          <w:sz w:val="36"/>
          <w:szCs w:val="36"/>
        </w:rPr>
      </w:pPr>
    </w:p>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0"/>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0160" b="1587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1"/>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44"/>
          <w:szCs w:val="44"/>
          <w:lang w:eastAsia="zh-CN"/>
        </w:rPr>
      </w:pPr>
      <w:r>
        <w:rPr>
          <w:rFonts w:hint="eastAsia" w:ascii="仿宋" w:hAnsi="仿宋" w:eastAsia="仿宋" w:cs="仿宋"/>
          <w:b/>
          <w:color w:val="auto"/>
          <w:sz w:val="44"/>
          <w:szCs w:val="44"/>
          <w:lang w:eastAsia="zh-CN"/>
        </w:rPr>
        <w:t>郑州城轨交通中等专业学校</w:t>
      </w:r>
    </w:p>
    <w:p>
      <w:pPr>
        <w:spacing w:line="580" w:lineRule="exact"/>
        <w:jc w:val="center"/>
        <w:rPr>
          <w:rFonts w:hint="eastAsia" w:ascii="仿宋" w:hAnsi="仿宋" w:eastAsia="仿宋"/>
          <w:b/>
          <w:sz w:val="44"/>
          <w:szCs w:val="44"/>
        </w:rPr>
      </w:pPr>
      <w:r>
        <w:rPr>
          <w:rFonts w:hint="eastAsia" w:ascii="仿宋" w:hAnsi="仿宋" w:eastAsia="仿宋" w:cs="仿宋"/>
          <w:b/>
          <w:color w:val="auto"/>
          <w:sz w:val="44"/>
          <w:szCs w:val="44"/>
        </w:rPr>
        <w:t>关于</w:t>
      </w:r>
      <w:r>
        <w:rPr>
          <w:rFonts w:hint="eastAsia" w:ascii="仿宋" w:hAnsi="仿宋" w:eastAsia="仿宋" w:cs="仿宋"/>
          <w:b/>
          <w:color w:val="auto"/>
          <w:sz w:val="44"/>
          <w:szCs w:val="44"/>
          <w:lang w:eastAsia="zh-CN"/>
        </w:rPr>
        <w:t>行李箱采购</w:t>
      </w:r>
      <w:r>
        <w:rPr>
          <w:rFonts w:hint="eastAsia" w:ascii="仿宋" w:hAnsi="仿宋" w:eastAsia="仿宋"/>
          <w:b/>
          <w:sz w:val="44"/>
          <w:szCs w:val="44"/>
        </w:rPr>
        <w:t>项目</w:t>
      </w:r>
    </w:p>
    <w:p>
      <w:pPr>
        <w:rPr>
          <w:rFonts w:ascii="仿宋" w:hAnsi="仿宋" w:eastAsia="仿宋"/>
          <w:b/>
          <w:color w:val="FF0000"/>
          <w:sz w:val="36"/>
          <w:szCs w:val="36"/>
        </w:rPr>
      </w:pPr>
    </w:p>
    <w:p>
      <w:pPr>
        <w:spacing w:line="580" w:lineRule="exact"/>
        <w:jc w:val="center"/>
        <w:rPr>
          <w:rFonts w:hint="eastAsia" w:ascii="仿宋" w:hAnsi="仿宋" w:eastAsia="仿宋"/>
          <w:b/>
          <w:sz w:val="44"/>
          <w:szCs w:val="44"/>
        </w:rPr>
      </w:pPr>
    </w:p>
    <w:p>
      <w:pPr>
        <w:spacing w:line="580" w:lineRule="exact"/>
        <w:jc w:val="center"/>
        <w:rPr>
          <w:rFonts w:hint="eastAsia" w:ascii="仿宋" w:hAnsi="仿宋" w:eastAsia="仿宋"/>
          <w:b/>
          <w:sz w:val="44"/>
          <w:szCs w:val="44"/>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spacing w:line="500" w:lineRule="exact"/>
        <w:ind w:firstLine="2331" w:firstLineChars="645"/>
        <w:rPr>
          <w:rFonts w:ascii="仿宋" w:hAnsi="仿宋" w:eastAsia="仿宋"/>
          <w:b/>
          <w:color w:val="FF0000"/>
          <w:sz w:val="36"/>
          <w:szCs w:val="36"/>
        </w:rPr>
      </w:pPr>
    </w:p>
    <w:p>
      <w:pPr>
        <w:spacing w:after="0" w:line="480" w:lineRule="exact"/>
        <w:rPr>
          <w:rFonts w:ascii="仿宋" w:hAnsi="仿宋" w:eastAsia="仿宋"/>
          <w:sz w:val="24"/>
          <w:szCs w:val="24"/>
        </w:rPr>
      </w:pPr>
      <w:r>
        <w:rPr>
          <w:rFonts w:hint="eastAsia" w:ascii="仿宋" w:hAnsi="仿宋" w:eastAsia="仿宋"/>
          <w:sz w:val="24"/>
          <w:szCs w:val="24"/>
        </w:rPr>
        <w:t xml:space="preserve">    根据贵学校编号为</w:t>
      </w:r>
      <w:r>
        <w:rPr>
          <w:rFonts w:hint="eastAsia" w:ascii="仿宋" w:hAnsi="仿宋" w:eastAsia="仿宋"/>
          <w:sz w:val="24"/>
          <w:szCs w:val="24"/>
          <w:u w:val="single"/>
        </w:rPr>
        <w:t xml:space="preserve">        </w:t>
      </w:r>
      <w:r>
        <w:rPr>
          <w:rFonts w:hint="eastAsia" w:ascii="仿宋" w:hAnsi="仿宋" w:eastAsia="仿宋"/>
          <w:sz w:val="24"/>
          <w:szCs w:val="24"/>
        </w:rPr>
        <w:t xml:space="preserve"> 项目名称为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sz w:val="24"/>
          <w:szCs w:val="24"/>
        </w:rPr>
      </w:pPr>
      <w:r>
        <w:rPr>
          <w:rFonts w:hint="eastAsia" w:ascii="仿宋" w:hAnsi="仿宋" w:eastAsia="仿宋"/>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sz w:val="24"/>
          <w:szCs w:val="24"/>
        </w:rPr>
      </w:pPr>
      <w:r>
        <w:rPr>
          <w:rFonts w:hint="eastAsia" w:ascii="仿宋" w:hAnsi="仿宋" w:eastAsia="仿宋"/>
          <w:sz w:val="24"/>
          <w:szCs w:val="24"/>
        </w:rPr>
        <w:t xml:space="preserve">    4.同意按公开询价文件的规定履行合同责任和义务。</w:t>
      </w:r>
    </w:p>
    <w:p>
      <w:pPr>
        <w:spacing w:after="0" w:line="480" w:lineRule="exact"/>
        <w:ind w:firstLine="480" w:firstLineChars="200"/>
        <w:rPr>
          <w:rFonts w:ascii="仿宋" w:hAnsi="仿宋" w:eastAsia="仿宋"/>
          <w:sz w:val="24"/>
          <w:szCs w:val="24"/>
        </w:rPr>
      </w:pPr>
      <w:r>
        <w:rPr>
          <w:rFonts w:ascii="仿宋" w:hAnsi="仿宋" w:eastAsia="仿宋"/>
          <w:sz w:val="24"/>
          <w:szCs w:val="24"/>
        </w:rPr>
        <w:t>5</w:t>
      </w:r>
      <w:r>
        <w:rPr>
          <w:rFonts w:hint="eastAsia" w:ascii="仿宋" w:hAnsi="仿宋" w:eastAsia="仿宋"/>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6"/>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color w:val="FF0000"/>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23"/>
        <w:tblW w:w="5021" w:type="pct"/>
        <w:tblInd w:w="0" w:type="dxa"/>
        <w:tblLayout w:type="fixed"/>
        <w:tblCellMar>
          <w:top w:w="0" w:type="dxa"/>
          <w:left w:w="108" w:type="dxa"/>
          <w:bottom w:w="0" w:type="dxa"/>
          <w:right w:w="108" w:type="dxa"/>
        </w:tblCellMar>
      </w:tblPr>
      <w:tblGrid>
        <w:gridCol w:w="553"/>
        <w:gridCol w:w="946"/>
        <w:gridCol w:w="2485"/>
        <w:gridCol w:w="905"/>
        <w:gridCol w:w="790"/>
        <w:gridCol w:w="861"/>
        <w:gridCol w:w="920"/>
        <w:gridCol w:w="890"/>
        <w:gridCol w:w="1263"/>
      </w:tblGrid>
      <w:tr>
        <w:tblPrEx>
          <w:tblCellMar>
            <w:top w:w="0" w:type="dxa"/>
            <w:left w:w="108" w:type="dxa"/>
            <w:bottom w:w="0" w:type="dxa"/>
            <w:right w:w="108" w:type="dxa"/>
          </w:tblCellMar>
        </w:tblPrEx>
        <w:trPr>
          <w:trHeight w:val="492" w:hRule="atLeast"/>
        </w:trPr>
        <w:tc>
          <w:tcPr>
            <w:tcW w:w="28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序号</w:t>
            </w:r>
          </w:p>
        </w:tc>
        <w:tc>
          <w:tcPr>
            <w:tcW w:w="49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lang w:eastAsia="zh-CN"/>
              </w:rPr>
              <w:t>产品</w:t>
            </w:r>
            <w:r>
              <w:rPr>
                <w:rFonts w:hint="eastAsia" w:ascii="仿宋" w:hAnsi="仿宋" w:eastAsia="仿宋" w:cs="Tahoma"/>
                <w:b/>
                <w:bCs/>
                <w:color w:val="000000"/>
                <w:sz w:val="20"/>
                <w:szCs w:val="20"/>
              </w:rPr>
              <w:t>名称</w:t>
            </w:r>
          </w:p>
        </w:tc>
        <w:tc>
          <w:tcPr>
            <w:tcW w:w="1292"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规格型号</w:t>
            </w:r>
          </w:p>
        </w:tc>
        <w:tc>
          <w:tcPr>
            <w:tcW w:w="47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单位</w:t>
            </w:r>
          </w:p>
        </w:tc>
        <w:tc>
          <w:tcPr>
            <w:tcW w:w="41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数量</w:t>
            </w:r>
          </w:p>
        </w:tc>
        <w:tc>
          <w:tcPr>
            <w:tcW w:w="448"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单价（元）</w:t>
            </w:r>
          </w:p>
        </w:tc>
        <w:tc>
          <w:tcPr>
            <w:tcW w:w="477"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总价（元）</w:t>
            </w:r>
          </w:p>
        </w:tc>
        <w:tc>
          <w:tcPr>
            <w:tcW w:w="462"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是否提供样品</w:t>
            </w:r>
          </w:p>
        </w:tc>
        <w:tc>
          <w:tcPr>
            <w:tcW w:w="65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备注</w:t>
            </w:r>
          </w:p>
        </w:tc>
      </w:tr>
      <w:tr>
        <w:tblPrEx>
          <w:tblCellMar>
            <w:top w:w="0" w:type="dxa"/>
            <w:left w:w="108" w:type="dxa"/>
            <w:bottom w:w="0" w:type="dxa"/>
            <w:right w:w="108" w:type="dxa"/>
          </w:tblCellMar>
        </w:tblPrEx>
        <w:trPr>
          <w:trHeight w:val="779" w:hRule="atLeast"/>
        </w:trPr>
        <w:tc>
          <w:tcPr>
            <w:tcW w:w="28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4"/>
                <w:szCs w:val="24"/>
              </w:rPr>
            </w:pPr>
            <w:r>
              <w:rPr>
                <w:rFonts w:hint="eastAsia" w:ascii="仿宋" w:hAnsi="仿宋" w:eastAsia="仿宋" w:cs="Tahoma"/>
                <w:color w:val="000000"/>
                <w:sz w:val="24"/>
                <w:szCs w:val="24"/>
              </w:rPr>
              <w:t>1</w:t>
            </w:r>
          </w:p>
        </w:tc>
        <w:tc>
          <w:tcPr>
            <w:tcW w:w="491" w:type="pct"/>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Tahoma"/>
                <w:color w:val="000000"/>
                <w:sz w:val="24"/>
                <w:szCs w:val="24"/>
                <w:lang w:eastAsia="zh-CN"/>
              </w:rPr>
            </w:pPr>
            <w:r>
              <w:rPr>
                <w:rFonts w:hint="eastAsia" w:ascii="仿宋" w:hAnsi="仿宋" w:eastAsia="仿宋" w:cs="Tahoma"/>
                <w:color w:val="000000"/>
                <w:sz w:val="24"/>
                <w:szCs w:val="24"/>
                <w:lang w:eastAsia="zh-CN"/>
              </w:rPr>
              <w:t>行李箱</w:t>
            </w:r>
          </w:p>
        </w:tc>
        <w:tc>
          <w:tcPr>
            <w:tcW w:w="1292" w:type="pct"/>
            <w:tcBorders>
              <w:top w:val="nil"/>
              <w:left w:val="nil"/>
              <w:bottom w:val="single" w:color="auto" w:sz="4" w:space="0"/>
              <w:right w:val="single" w:color="auto" w:sz="4" w:space="0"/>
            </w:tcBorders>
            <w:shd w:val="clear" w:color="000000" w:fill="FFFFFF"/>
            <w:vAlign w:val="center"/>
          </w:tcPr>
          <w:p>
            <w:pPr>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产品材质：</w:t>
            </w:r>
            <w:r>
              <w:rPr>
                <w:rFonts w:hint="eastAsia" w:ascii="仿宋" w:hAnsi="仿宋" w:eastAsia="仿宋" w:cs="Tahoma"/>
                <w:color w:val="000000"/>
                <w:sz w:val="24"/>
                <w:szCs w:val="24"/>
                <w:lang w:val="en-US" w:eastAsia="zh-CN"/>
              </w:rPr>
              <w:t>ABS+PC</w:t>
            </w:r>
          </w:p>
          <w:p>
            <w:pPr>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2.产品滚轮：360°万向轮</w:t>
            </w:r>
          </w:p>
          <w:p>
            <w:pPr>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3.产品锁具：三位数密码锁</w:t>
            </w:r>
          </w:p>
          <w:p>
            <w:pPr>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4.产品尺寸：24寸</w:t>
            </w:r>
          </w:p>
          <w:p>
            <w:pPr>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5.颜色：多种</w:t>
            </w:r>
          </w:p>
        </w:tc>
        <w:tc>
          <w:tcPr>
            <w:tcW w:w="470" w:type="pct"/>
            <w:tcBorders>
              <w:top w:val="nil"/>
              <w:left w:val="nil"/>
              <w:bottom w:val="single" w:color="auto" w:sz="4" w:space="0"/>
              <w:right w:val="single" w:color="auto" w:sz="4" w:space="0"/>
            </w:tcBorders>
            <w:vAlign w:val="center"/>
          </w:tcPr>
          <w:p>
            <w:pPr>
              <w:jc w:val="center"/>
              <w:rPr>
                <w:rFonts w:hint="eastAsia" w:ascii="仿宋" w:hAnsi="仿宋" w:eastAsia="仿宋" w:cs="Tahoma"/>
                <w:color w:val="000000"/>
                <w:sz w:val="24"/>
                <w:szCs w:val="24"/>
                <w:lang w:eastAsia="zh-CN"/>
              </w:rPr>
            </w:pPr>
            <w:r>
              <w:rPr>
                <w:rFonts w:hint="eastAsia" w:ascii="仿宋" w:hAnsi="仿宋" w:eastAsia="仿宋" w:cs="Tahoma"/>
                <w:color w:val="000000"/>
                <w:sz w:val="24"/>
                <w:szCs w:val="24"/>
                <w:lang w:eastAsia="zh-CN"/>
              </w:rPr>
              <w:t>个</w:t>
            </w:r>
          </w:p>
        </w:tc>
        <w:tc>
          <w:tcPr>
            <w:tcW w:w="410" w:type="pct"/>
            <w:tcBorders>
              <w:top w:val="nil"/>
              <w:left w:val="nil"/>
              <w:bottom w:val="single" w:color="auto" w:sz="4" w:space="0"/>
              <w:right w:val="single" w:color="auto" w:sz="4" w:space="0"/>
            </w:tcBorders>
            <w:vAlign w:val="center"/>
          </w:tcPr>
          <w:p>
            <w:pPr>
              <w:jc w:val="center"/>
              <w:rPr>
                <w:rFonts w:hint="default"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1000</w:t>
            </w:r>
          </w:p>
        </w:tc>
        <w:tc>
          <w:tcPr>
            <w:tcW w:w="448"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4"/>
                <w:szCs w:val="24"/>
              </w:rPr>
            </w:pPr>
          </w:p>
        </w:tc>
        <w:tc>
          <w:tcPr>
            <w:tcW w:w="47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4"/>
                <w:szCs w:val="24"/>
              </w:rPr>
            </w:pPr>
          </w:p>
        </w:tc>
        <w:tc>
          <w:tcPr>
            <w:tcW w:w="462"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4"/>
                <w:szCs w:val="24"/>
              </w:rPr>
            </w:pPr>
            <w:r>
              <w:rPr>
                <w:rFonts w:hint="eastAsia" w:ascii="仿宋" w:hAnsi="仿宋" w:eastAsia="仿宋" w:cs="Tahoma"/>
                <w:color w:val="auto"/>
                <w:sz w:val="24"/>
                <w:szCs w:val="24"/>
              </w:rPr>
              <w:t>是</w:t>
            </w:r>
          </w:p>
        </w:tc>
        <w:tc>
          <w:tcPr>
            <w:tcW w:w="657" w:type="pct"/>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000000"/>
                <w:sz w:val="24"/>
                <w:szCs w:val="24"/>
                <w:lang w:val="en-US" w:eastAsia="zh-CN"/>
              </w:rPr>
            </w:pPr>
            <w:r>
              <w:rPr>
                <w:rFonts w:hint="eastAsia" w:ascii="仿宋" w:hAnsi="仿宋" w:eastAsia="仿宋" w:cs="Tahoma"/>
                <w:color w:val="000000"/>
                <w:sz w:val="24"/>
                <w:szCs w:val="24"/>
                <w:lang w:eastAsia="zh-CN"/>
              </w:rPr>
              <w:t>需印制学校</w:t>
            </w:r>
            <w:r>
              <w:rPr>
                <w:rFonts w:hint="eastAsia" w:ascii="仿宋" w:hAnsi="仿宋" w:eastAsia="仿宋" w:cs="Tahoma"/>
                <w:color w:val="000000"/>
                <w:sz w:val="24"/>
                <w:szCs w:val="24"/>
                <w:lang w:val="en-US" w:eastAsia="zh-CN"/>
              </w:rPr>
              <w:t>LOGO，最高限价200元</w:t>
            </w:r>
          </w:p>
        </w:tc>
      </w:tr>
      <w:tr>
        <w:tblPrEx>
          <w:tblCellMar>
            <w:top w:w="0" w:type="dxa"/>
            <w:left w:w="108" w:type="dxa"/>
            <w:bottom w:w="0" w:type="dxa"/>
            <w:right w:w="108" w:type="dxa"/>
          </w:tblCellMar>
        </w:tblPrEx>
        <w:trPr>
          <w:trHeight w:val="794" w:hRule="atLeast"/>
        </w:trPr>
        <w:tc>
          <w:tcPr>
            <w:tcW w:w="3401" w:type="pct"/>
            <w:gridSpan w:val="6"/>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hint="eastAsia" w:ascii="仿宋" w:hAnsi="仿宋" w:eastAsia="仿宋" w:cs="Tahoma"/>
                <w:color w:val="000000"/>
                <w:sz w:val="20"/>
                <w:szCs w:val="20"/>
                <w:lang w:eastAsia="zh-CN"/>
              </w:rPr>
            </w:pPr>
            <w:r>
              <w:rPr>
                <w:rFonts w:hint="eastAsia" w:ascii="仿宋" w:hAnsi="仿宋" w:eastAsia="仿宋" w:cs="Tahoma"/>
                <w:color w:val="000000"/>
                <w:sz w:val="20"/>
                <w:szCs w:val="20"/>
                <w:lang w:eastAsia="zh-CN"/>
              </w:rPr>
              <w:t>合计</w:t>
            </w:r>
          </w:p>
        </w:tc>
        <w:tc>
          <w:tcPr>
            <w:tcW w:w="1598" w:type="pct"/>
            <w:gridSpan w:val="3"/>
            <w:tcBorders>
              <w:top w:val="single" w:color="auto" w:sz="4" w:space="0"/>
              <w:left w:val="single" w:color="auto" w:sz="4" w:space="0"/>
              <w:bottom w:val="single" w:color="auto" w:sz="4" w:space="0"/>
              <w:right w:val="single" w:color="auto" w:sz="4" w:space="0"/>
            </w:tcBorders>
            <w:vAlign w:val="center"/>
          </w:tcPr>
          <w:p>
            <w:pPr>
              <w:jc w:val="both"/>
              <w:rPr>
                <w:rFonts w:ascii="仿宋" w:hAnsi="仿宋" w:eastAsia="仿宋" w:cs="Tahoma"/>
                <w:color w:val="000000"/>
                <w:sz w:val="20"/>
                <w:szCs w:val="20"/>
              </w:rPr>
            </w:pPr>
          </w:p>
        </w:tc>
      </w:tr>
      <w:tr>
        <w:tblPrEx>
          <w:tblCellMar>
            <w:top w:w="0" w:type="dxa"/>
            <w:left w:w="108" w:type="dxa"/>
            <w:bottom w:w="0" w:type="dxa"/>
            <w:right w:w="108" w:type="dxa"/>
          </w:tblCellMar>
        </w:tblPrEx>
        <w:trPr>
          <w:trHeight w:val="1259" w:hRule="atLeast"/>
        </w:trPr>
        <w:tc>
          <w:tcPr>
            <w:tcW w:w="5000" w:type="pct"/>
            <w:gridSpan w:val="9"/>
            <w:tcBorders>
              <w:top w:val="single" w:color="auto" w:sz="4" w:space="0"/>
              <w:left w:val="single" w:color="auto" w:sz="4" w:space="0"/>
              <w:bottom w:val="single" w:color="auto" w:sz="4" w:space="0"/>
              <w:right w:val="single" w:color="auto" w:sz="4" w:space="0"/>
            </w:tcBorders>
            <w:shd w:val="clear" w:color="000000" w:fill="FFFFFF"/>
            <w:vAlign w:val="center"/>
          </w:tcPr>
          <w:p>
            <w:pPr>
              <w:numPr>
                <w:ilvl w:val="0"/>
                <w:numId w:val="6"/>
              </w:numPr>
              <w:spacing w:after="0" w:line="400" w:lineRule="exact"/>
              <w:rPr>
                <w:rFonts w:hint="eastAsia" w:ascii="仿宋" w:hAnsi="仿宋" w:eastAsia="仿宋" w:cs="仿宋"/>
                <w:color w:val="auto"/>
                <w:sz w:val="24"/>
                <w:szCs w:val="24"/>
              </w:rPr>
            </w:pPr>
            <w:r>
              <w:rPr>
                <w:rFonts w:hint="eastAsia" w:ascii="仿宋" w:hAnsi="仿宋" w:eastAsia="仿宋" w:cs="仿宋"/>
                <w:color w:val="auto"/>
                <w:sz w:val="24"/>
                <w:szCs w:val="24"/>
              </w:rPr>
              <w:t>付款方式：货物到达指定位置验收合格后</w:t>
            </w:r>
            <w:r>
              <w:rPr>
                <w:rFonts w:hint="eastAsia" w:ascii="仿宋" w:hAnsi="仿宋" w:eastAsia="仿宋" w:cs="仿宋"/>
                <w:color w:val="auto"/>
                <w:sz w:val="24"/>
                <w:szCs w:val="24"/>
                <w:u w:val="single"/>
              </w:rPr>
              <w:t>30</w:t>
            </w:r>
            <w:r>
              <w:rPr>
                <w:rFonts w:hint="eastAsia" w:ascii="仿宋" w:hAnsi="仿宋" w:eastAsia="仿宋" w:cs="仿宋"/>
                <w:color w:val="auto"/>
                <w:sz w:val="24"/>
                <w:szCs w:val="24"/>
              </w:rPr>
              <w:t>个工作日内，支付验收合格</w:t>
            </w:r>
            <w:r>
              <w:rPr>
                <w:rFonts w:hint="eastAsia" w:ascii="仿宋" w:hAnsi="仿宋" w:eastAsia="仿宋" w:cs="仿宋"/>
                <w:color w:val="auto"/>
                <w:sz w:val="24"/>
                <w:szCs w:val="24"/>
                <w:lang w:eastAsia="zh-CN"/>
              </w:rPr>
              <w:t>物资</w:t>
            </w:r>
            <w:r>
              <w:rPr>
                <w:rFonts w:hint="eastAsia" w:ascii="仿宋" w:hAnsi="仿宋" w:eastAsia="仿宋" w:cs="仿宋"/>
                <w:color w:val="auto"/>
                <w:sz w:val="24"/>
                <w:szCs w:val="24"/>
              </w:rPr>
              <w:t>款的</w:t>
            </w:r>
            <w:r>
              <w:rPr>
                <w:rFonts w:hint="eastAsia" w:ascii="仿宋" w:hAnsi="仿宋" w:eastAsia="仿宋" w:cs="仿宋"/>
                <w:color w:val="auto"/>
                <w:sz w:val="24"/>
                <w:szCs w:val="24"/>
                <w:u w:val="single"/>
              </w:rPr>
              <w:t>95%</w:t>
            </w:r>
            <w:r>
              <w:rPr>
                <w:rFonts w:hint="eastAsia" w:ascii="仿宋" w:hAnsi="仿宋" w:eastAsia="仿宋" w:cs="仿宋"/>
                <w:color w:val="auto"/>
                <w:sz w:val="24"/>
                <w:szCs w:val="24"/>
              </w:rPr>
              <w:t>作为验收款；余款</w:t>
            </w:r>
            <w:r>
              <w:rPr>
                <w:rFonts w:hint="eastAsia" w:ascii="仿宋" w:hAnsi="仿宋" w:eastAsia="仿宋" w:cs="仿宋"/>
                <w:color w:val="auto"/>
                <w:sz w:val="24"/>
                <w:szCs w:val="24"/>
                <w:u w:val="single"/>
              </w:rPr>
              <w:t>5</w:t>
            </w:r>
            <w:r>
              <w:rPr>
                <w:rFonts w:hint="eastAsia" w:ascii="仿宋" w:hAnsi="仿宋" w:eastAsia="仿宋" w:cs="仿宋"/>
                <w:color w:val="auto"/>
                <w:sz w:val="24"/>
                <w:szCs w:val="24"/>
              </w:rPr>
              <w:t>%作为质保金在质保期满(验收合格之日起算)</w:t>
            </w:r>
            <w:r>
              <w:rPr>
                <w:rFonts w:hint="eastAsia" w:ascii="仿宋" w:hAnsi="仿宋" w:eastAsia="仿宋" w:cs="仿宋"/>
                <w:color w:val="auto"/>
                <w:sz w:val="24"/>
                <w:szCs w:val="24"/>
                <w:u w:val="single"/>
              </w:rPr>
              <w:t>15</w:t>
            </w:r>
            <w:r>
              <w:rPr>
                <w:rFonts w:hint="eastAsia" w:ascii="仿宋" w:hAnsi="仿宋" w:eastAsia="仿宋" w:cs="仿宋"/>
                <w:color w:val="auto"/>
                <w:sz w:val="24"/>
                <w:szCs w:val="24"/>
              </w:rPr>
              <w:t>个工作日内无息支付。 2.交货期：交货时间：</w:t>
            </w:r>
            <w:r>
              <w:rPr>
                <w:rFonts w:hint="eastAsia" w:ascii="仿宋" w:hAnsi="仿宋" w:eastAsia="仿宋" w:cs="仿宋"/>
                <w:color w:val="auto"/>
                <w:sz w:val="24"/>
                <w:szCs w:val="24"/>
                <w:u w:val="single"/>
              </w:rPr>
              <w:t>签订合同后15天</w:t>
            </w:r>
            <w:r>
              <w:rPr>
                <w:rFonts w:hint="eastAsia" w:ascii="仿宋" w:hAnsi="仿宋" w:eastAsia="仿宋" w:cs="仿宋"/>
                <w:color w:val="auto"/>
                <w:sz w:val="24"/>
                <w:szCs w:val="24"/>
              </w:rPr>
              <w:t>交货，到货检验合格后</w:t>
            </w:r>
            <w:r>
              <w:rPr>
                <w:rFonts w:hint="eastAsia" w:ascii="仿宋" w:hAnsi="仿宋" w:eastAsia="仿宋" w:cs="仿宋"/>
                <w:color w:val="auto"/>
                <w:sz w:val="24"/>
                <w:szCs w:val="24"/>
                <w:u w:val="single"/>
              </w:rPr>
              <w:t>7</w:t>
            </w:r>
            <w:r>
              <w:rPr>
                <w:rFonts w:hint="eastAsia" w:ascii="仿宋" w:hAnsi="仿宋" w:eastAsia="仿宋" w:cs="仿宋"/>
                <w:color w:val="auto"/>
                <w:sz w:val="24"/>
                <w:szCs w:val="24"/>
              </w:rPr>
              <w:t>个工作日内完成安装。</w:t>
            </w:r>
          </w:p>
          <w:p>
            <w:pPr>
              <w:jc w:val="both"/>
              <w:rPr>
                <w:rFonts w:ascii="仿宋" w:hAnsi="仿宋" w:eastAsia="仿宋" w:cs="Tahoma"/>
                <w:color w:val="000000"/>
                <w:sz w:val="20"/>
                <w:szCs w:val="20"/>
              </w:rPr>
            </w:pPr>
            <w:r>
              <w:rPr>
                <w:rFonts w:hint="eastAsia" w:ascii="仿宋" w:hAnsi="仿宋" w:eastAsia="仿宋" w:cs="仿宋"/>
                <w:color w:val="auto"/>
                <w:sz w:val="24"/>
                <w:szCs w:val="24"/>
              </w:rPr>
              <w:t>3.质保期：质保期为</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u w:val="single"/>
                <w:lang w:val="en-US" w:eastAsia="zh-CN"/>
              </w:rPr>
              <w:t>12</w:t>
            </w:r>
            <w:r>
              <w:rPr>
                <w:rFonts w:hint="eastAsia" w:ascii="仿宋" w:hAnsi="仿宋" w:eastAsia="仿宋" w:cs="仿宋"/>
                <w:color w:val="auto"/>
                <w:sz w:val="24"/>
                <w:szCs w:val="24"/>
              </w:rPr>
              <w:t>个月起，质保期内非人为损坏的需提供免费维保或更换。</w:t>
            </w: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center"/>
        <w:rPr>
          <w:rFonts w:ascii="仿宋" w:hAnsi="仿宋" w:eastAsia="仿宋"/>
          <w:sz w:val="24"/>
          <w:szCs w:val="24"/>
          <w:lang w:val="zh-CN"/>
        </w:rPr>
      </w:pPr>
      <w:r>
        <w:rPr>
          <w:rFonts w:hint="eastAsia" w:ascii="仿宋" w:hAnsi="仿宋" w:eastAsia="仿宋"/>
          <w:sz w:val="24"/>
          <w:szCs w:val="24"/>
          <w:lang w:val="en-US" w:eastAsia="zh-CN"/>
        </w:rPr>
        <w:t xml:space="preserve">                                      </w:t>
      </w: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6" w:type="first"/>
          <w:headerReference r:id="rId5" w:type="default"/>
          <w:footerReference r:id="rId7" w:type="default"/>
          <w:type w:val="continuous"/>
          <w:pgSz w:w="11906" w:h="16838"/>
          <w:pgMar w:top="1440" w:right="1416" w:bottom="1440" w:left="1134" w:header="851" w:footer="992" w:gutter="0"/>
          <w:pgBorders>
            <w:top w:val="none" w:sz="0" w:space="0"/>
            <w:left w:val="none" w:sz="0" w:space="0"/>
            <w:bottom w:val="none" w:sz="0" w:space="0"/>
            <w:right w:val="none" w:sz="0" w:space="0"/>
          </w:pgBorders>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49" w:name="_Toc259520874"/>
      <w:bookmarkStart w:id="50" w:name="_Toc267060326"/>
      <w:bookmarkStart w:id="51" w:name="_Toc267059186"/>
      <w:bookmarkStart w:id="52" w:name="_Toc255975016"/>
      <w:bookmarkStart w:id="53" w:name="_Toc213208771"/>
      <w:bookmarkStart w:id="54" w:name="_Toc267059811"/>
      <w:bookmarkStart w:id="55" w:name="_Toc267059924"/>
      <w:bookmarkStart w:id="56" w:name="_Toc258401265"/>
      <w:bookmarkStart w:id="57" w:name="_Toc259692749"/>
      <w:bookmarkStart w:id="58" w:name="_Toc266870441"/>
      <w:bookmarkStart w:id="59" w:name="_Toc266868943"/>
      <w:bookmarkStart w:id="60" w:name="_Toc230071153"/>
      <w:bookmarkStart w:id="61" w:name="_Toc232302122"/>
      <w:bookmarkStart w:id="62" w:name="_Toc267059035"/>
      <w:bookmarkStart w:id="63" w:name="_Toc266868679"/>
      <w:bookmarkStart w:id="64" w:name="_Toc266870916"/>
      <w:bookmarkStart w:id="65" w:name="_Toc219800249"/>
      <w:bookmarkStart w:id="66" w:name="_Toc223146614"/>
      <w:bookmarkStart w:id="67" w:name="_Toc225669328"/>
      <w:bookmarkStart w:id="68" w:name="_Toc267060461"/>
      <w:bookmarkStart w:id="69" w:name="_Toc267060216"/>
      <w:bookmarkStart w:id="70" w:name="_Toc273178703"/>
      <w:bookmarkStart w:id="71" w:name="_Toc266870839"/>
      <w:bookmarkStart w:id="72" w:name="_Toc259692656"/>
      <w:bookmarkStart w:id="73" w:name="_Toc249325720"/>
      <w:bookmarkStart w:id="74" w:name="_Toc227058536"/>
      <w:bookmarkStart w:id="75" w:name="_Toc254790909"/>
      <w:bookmarkStart w:id="76" w:name="_Toc235437998"/>
      <w:bookmarkStart w:id="77" w:name="_Toc160880165"/>
      <w:bookmarkStart w:id="78" w:name="_Toc251586241"/>
      <w:bookmarkStart w:id="79" w:name="_Toc235438281"/>
      <w:bookmarkStart w:id="80" w:name="_Toc267059544"/>
      <w:bookmarkStart w:id="81" w:name="_Toc267059658"/>
      <w:bookmarkStart w:id="82" w:name="_Toc236021457"/>
      <w:bookmarkStart w:id="83" w:name="_Toc235438352"/>
      <w:bookmarkStart w:id="84" w:name="_Toc267060076"/>
      <w:bookmarkStart w:id="85" w:name="_Toc192664158"/>
      <w:bookmarkStart w:id="86" w:name="_Toc192996343"/>
      <w:bookmarkStart w:id="87" w:name="_Toc253066624"/>
      <w:bookmarkStart w:id="88" w:name="_Toc191783227"/>
      <w:bookmarkStart w:id="89" w:name="_Toc191789334"/>
      <w:bookmarkStart w:id="90" w:name="_Toc191802695"/>
      <w:bookmarkStart w:id="91" w:name="_Toc160880534"/>
      <w:bookmarkStart w:id="92" w:name="_Toc191803631"/>
      <w:bookmarkStart w:id="93" w:name="_Toc192663691"/>
      <w:bookmarkStart w:id="94" w:name="_Toc251613839"/>
      <w:bookmarkStart w:id="95" w:name="_Toc180302918"/>
      <w:bookmarkStart w:id="96" w:name="_Toc181436466"/>
      <w:bookmarkStart w:id="97" w:name="_Toc192663840"/>
      <w:bookmarkStart w:id="98" w:name="_Toc213756001"/>
      <w:bookmarkStart w:id="99" w:name="_Toc193165739"/>
      <w:bookmarkStart w:id="100" w:name="_Toc169332954"/>
      <w:bookmarkStart w:id="101" w:name="_Toc213755864"/>
      <w:bookmarkStart w:id="102" w:name="_Toc182372787"/>
      <w:bookmarkStart w:id="103" w:name="_Toc192996451"/>
      <w:bookmarkStart w:id="104" w:name="_Toc193160453"/>
      <w:bookmarkStart w:id="105" w:name="_Toc203355738"/>
      <w:bookmarkStart w:id="106" w:name="_Toc182805222"/>
      <w:bookmarkStart w:id="107" w:name="_Toc211917121"/>
      <w:bookmarkStart w:id="108" w:name="_Toc181436570"/>
      <w:bookmarkStart w:id="109" w:name="_Toc169332843"/>
      <w:bookmarkStart w:id="110" w:name="_Toc213755945"/>
      <w:bookmarkStart w:id="111" w:name="_Toc170798798"/>
      <w:bookmarkStart w:id="112" w:name="_Toc177985474"/>
      <w:bookmarkStart w:id="113" w:name="_Toc213756057"/>
      <w:bookmarkStart w:id="114" w:name="_Toc217891408"/>
    </w:p>
    <w:p>
      <w:pPr>
        <w:jc w:val="center"/>
        <w:outlineLvl w:val="1"/>
        <w:rPr>
          <w:rFonts w:ascii="仿宋" w:hAnsi="仿宋" w:eastAsia="仿宋"/>
          <w:b/>
          <w:bCs/>
          <w:sz w:val="24"/>
          <w:szCs w:val="24"/>
        </w:rPr>
      </w:pPr>
      <w:r>
        <w:rPr>
          <w:rFonts w:ascii="仿宋" w:hAnsi="仿宋" w:eastAsia="仿宋"/>
          <w:b/>
          <w:bCs/>
          <w:sz w:val="24"/>
          <w:szCs w:val="24"/>
        </w:rPr>
        <w:t>3</w:t>
      </w:r>
      <w:r>
        <w:rPr>
          <w:rFonts w:hint="eastAsia" w:ascii="仿宋" w:hAnsi="仿宋" w:eastAsia="仿宋"/>
          <w:b/>
          <w:bCs/>
          <w:sz w:val="24"/>
          <w:szCs w:val="24"/>
        </w:rPr>
        <w:t>、</w:t>
      </w:r>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Pr>
          <w:rFonts w:hint="eastAsia" w:ascii="仿宋" w:hAnsi="仿宋" w:eastAsia="仿宋"/>
          <w:b/>
          <w:bCs/>
          <w:sz w:val="24"/>
          <w:szCs w:val="24"/>
        </w:rPr>
        <w:t>参与人资质材料</w:t>
      </w:r>
    </w:p>
    <w:p>
      <w:pPr>
        <w:pStyle w:val="39"/>
        <w:rPr>
          <w:sz w:val="24"/>
          <w:szCs w:val="24"/>
        </w:rPr>
      </w:pPr>
    </w:p>
    <w:p>
      <w:pPr>
        <w:spacing w:after="0" w:line="500" w:lineRule="exact"/>
        <w:rPr>
          <w:rFonts w:ascii="仿宋" w:hAnsi="仿宋" w:eastAsia="仿宋"/>
          <w:sz w:val="24"/>
          <w:szCs w:val="24"/>
        </w:rPr>
      </w:pPr>
      <w:r>
        <w:rPr>
          <w:rFonts w:hint="eastAsia" w:ascii="仿宋" w:hAnsi="仿宋" w:eastAsia="仿宋"/>
          <w:sz w:val="24"/>
          <w:szCs w:val="24"/>
        </w:rPr>
        <w:t>参与人需要提供以下材料：</w:t>
      </w:r>
    </w:p>
    <w:p>
      <w:pPr>
        <w:pStyle w:val="54"/>
        <w:numPr>
          <w:ilvl w:val="0"/>
          <w:numId w:val="8"/>
        </w:numPr>
        <w:spacing w:after="0" w:line="500" w:lineRule="exact"/>
        <w:ind w:firstLineChars="0"/>
        <w:rPr>
          <w:rFonts w:ascii="仿宋" w:hAnsi="仿宋" w:eastAsia="仿宋"/>
          <w:sz w:val="24"/>
          <w:szCs w:val="24"/>
        </w:rPr>
      </w:pPr>
      <w:r>
        <w:rPr>
          <w:rFonts w:hint="eastAsia" w:ascii="仿宋" w:hAnsi="仿宋" w:eastAsia="仿宋"/>
          <w:sz w:val="24"/>
          <w:szCs w:val="24"/>
        </w:rPr>
        <w:t>营业执照复印件</w:t>
      </w:r>
      <w:r>
        <w:rPr>
          <w:rFonts w:hint="eastAsia" w:ascii="仿宋" w:hAnsi="仿宋" w:eastAsia="仿宋"/>
          <w:sz w:val="24"/>
          <w:szCs w:val="24"/>
          <w:lang w:val="en-US" w:eastAsia="zh-CN"/>
        </w:rPr>
        <w:t>(法人授权函及被授权人身份证）</w:t>
      </w:r>
      <w:bookmarkStart w:id="115" w:name="_GoBack"/>
      <w:bookmarkEnd w:id="115"/>
    </w:p>
    <w:p>
      <w:pPr>
        <w:pStyle w:val="54"/>
        <w:numPr>
          <w:ilvl w:val="0"/>
          <w:numId w:val="8"/>
        </w:numPr>
        <w:spacing w:after="0" w:line="500" w:lineRule="exact"/>
        <w:ind w:firstLineChars="0"/>
        <w:rPr>
          <w:rFonts w:ascii="仿宋" w:hAnsi="仿宋" w:eastAsia="仿宋"/>
          <w:sz w:val="24"/>
          <w:szCs w:val="24"/>
        </w:rPr>
      </w:pPr>
      <w:r>
        <w:rPr>
          <w:rFonts w:hint="eastAsia" w:ascii="仿宋" w:hAnsi="仿宋" w:eastAsia="仿宋"/>
          <w:sz w:val="24"/>
          <w:szCs w:val="24"/>
        </w:rPr>
        <w:t>授权经销商或代理商证明材料复印件</w:t>
      </w:r>
    </w:p>
    <w:p>
      <w:pPr>
        <w:pStyle w:val="54"/>
        <w:numPr>
          <w:ilvl w:val="0"/>
          <w:numId w:val="8"/>
        </w:numPr>
        <w:spacing w:after="0" w:line="500" w:lineRule="exact"/>
        <w:ind w:firstLineChars="0"/>
        <w:rPr>
          <w:rFonts w:ascii="仿宋" w:hAnsi="仿宋" w:eastAsia="仿宋"/>
          <w:sz w:val="24"/>
          <w:szCs w:val="24"/>
        </w:rPr>
      </w:pPr>
      <w:r>
        <w:rPr>
          <w:rFonts w:hint="eastAsia" w:ascii="仿宋" w:hAnsi="仿宋" w:eastAsia="仿宋"/>
          <w:sz w:val="24"/>
          <w:szCs w:val="24"/>
        </w:rPr>
        <w:t>质保期和售后服务承诺书（参与人自行起草）</w:t>
      </w:r>
    </w:p>
    <w:p>
      <w:pPr>
        <w:pStyle w:val="54"/>
        <w:numPr>
          <w:ilvl w:val="0"/>
          <w:numId w:val="8"/>
        </w:numPr>
        <w:spacing w:after="0" w:line="500" w:lineRule="exact"/>
        <w:ind w:firstLineChars="0"/>
        <w:rPr>
          <w:rFonts w:ascii="仿宋" w:hAnsi="仿宋" w:eastAsia="仿宋"/>
          <w:sz w:val="24"/>
          <w:szCs w:val="24"/>
        </w:rPr>
      </w:pPr>
      <w:r>
        <w:rPr>
          <w:rFonts w:hint="eastAsia" w:ascii="仿宋" w:hAnsi="仿宋" w:eastAsia="仿宋"/>
          <w:sz w:val="24"/>
          <w:szCs w:val="24"/>
          <w:lang w:eastAsia="zh-CN"/>
        </w:rPr>
        <w:t>参与人具有近三年类似业绩，三个或不少于三个（提供合同扫描件等）。</w:t>
      </w:r>
    </w:p>
    <w:p>
      <w:pPr>
        <w:spacing w:line="380" w:lineRule="exact"/>
        <w:rPr>
          <w:rFonts w:ascii="仿宋" w:hAnsi="仿宋" w:eastAsia="仿宋"/>
          <w:sz w:val="24"/>
          <w:szCs w:val="24"/>
        </w:rPr>
      </w:pPr>
    </w:p>
    <w:p>
      <w:pPr>
        <w:spacing w:line="380" w:lineRule="exact"/>
        <w:rPr>
          <w:rFonts w:ascii="仿宋" w:hAnsi="仿宋" w:eastAsia="仿宋"/>
          <w:b/>
          <w:bCs/>
          <w:sz w:val="24"/>
          <w:szCs w:val="24"/>
        </w:rPr>
      </w:pPr>
      <w:r>
        <w:rPr>
          <w:rFonts w:hint="eastAsia" w:ascii="仿宋" w:hAnsi="仿宋" w:eastAsia="仿宋"/>
          <w:b/>
          <w:bCs/>
          <w:sz w:val="24"/>
          <w:szCs w:val="24"/>
        </w:rPr>
        <w:t>以上材料复印件须加盖参与人公司公章，并与报价一览表一同密封</w:t>
      </w: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sectPr>
      <w:pgSz w:w="11906" w:h="16838"/>
      <w:pgMar w:top="1440" w:right="1416" w:bottom="1440" w:left="1134" w:header="851" w:footer="992" w:gutter="0"/>
      <w:pgBorders>
        <w:top w:val="none" w:sz="0" w:space="0"/>
        <w:left w:val="none" w:sz="0" w:space="0"/>
        <w:bottom w:val="none" w:sz="0" w:space="0"/>
        <w:right w:val="none" w:sz="0" w:space="0"/>
      </w:pgBorders>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20B0502020202020204"/>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508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5080"/>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5080"/>
          <wp:docPr id="5" name="图片 5"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2DB2D9E"/>
    <w:multiLevelType w:val="singleLevel"/>
    <w:tmpl w:val="D2DB2D9E"/>
    <w:lvl w:ilvl="0" w:tentative="0">
      <w:start w:val="1"/>
      <w:numFmt w:val="decimal"/>
      <w:lvlText w:val="%1."/>
      <w:lvlJc w:val="left"/>
      <w:pPr>
        <w:tabs>
          <w:tab w:val="left" w:pos="312"/>
        </w:tabs>
      </w:pPr>
    </w:lvl>
  </w:abstractNum>
  <w:abstractNum w:abstractNumId="1">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2">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4">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6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6">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7">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4"/>
  </w:num>
  <w:num w:numId="2">
    <w:abstractNumId w:val="1"/>
  </w:num>
  <w:num w:numId="3">
    <w:abstractNumId w:val="5"/>
  </w:num>
  <w:num w:numId="4">
    <w:abstractNumId w:val="6"/>
  </w:num>
  <w:num w:numId="5">
    <w:abstractNumId w:val="3"/>
  </w:num>
  <w:num w:numId="6">
    <w:abstractNumId w:val="0"/>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13721"/>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07D2E"/>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27F8"/>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42F72"/>
    <w:rsid w:val="00955004"/>
    <w:rsid w:val="009606BC"/>
    <w:rsid w:val="00967E57"/>
    <w:rsid w:val="00994E59"/>
    <w:rsid w:val="009B7DAD"/>
    <w:rsid w:val="009D6C32"/>
    <w:rsid w:val="009F0B36"/>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CB73CD"/>
    <w:rsid w:val="00D2102C"/>
    <w:rsid w:val="00D260D0"/>
    <w:rsid w:val="00D36D52"/>
    <w:rsid w:val="00D56DEA"/>
    <w:rsid w:val="00D60F0E"/>
    <w:rsid w:val="00E11567"/>
    <w:rsid w:val="00E3310A"/>
    <w:rsid w:val="00E33B9E"/>
    <w:rsid w:val="00E33C1C"/>
    <w:rsid w:val="00E34C27"/>
    <w:rsid w:val="00E4054E"/>
    <w:rsid w:val="00E47041"/>
    <w:rsid w:val="00E77225"/>
    <w:rsid w:val="00E95973"/>
    <w:rsid w:val="00ED2437"/>
    <w:rsid w:val="00EE3803"/>
    <w:rsid w:val="00EE616F"/>
    <w:rsid w:val="00F0149B"/>
    <w:rsid w:val="00F21640"/>
    <w:rsid w:val="00F8646A"/>
    <w:rsid w:val="00F876DE"/>
    <w:rsid w:val="00FB2CC4"/>
    <w:rsid w:val="00FF1750"/>
    <w:rsid w:val="00FF655F"/>
    <w:rsid w:val="0B1B40F4"/>
    <w:rsid w:val="19FE6BE3"/>
    <w:rsid w:val="32022FA9"/>
    <w:rsid w:val="41702DEC"/>
    <w:rsid w:val="51A95363"/>
    <w:rsid w:val="550A50EB"/>
    <w:rsid w:val="5BBD5BB7"/>
    <w:rsid w:val="669257FC"/>
    <w:rsid w:val="6A6A486F"/>
    <w:rsid w:val="6C193696"/>
    <w:rsid w:val="7E1B05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3">
    <w:name w:val="heading 1"/>
    <w:basedOn w:val="1"/>
    <w:next w:val="1"/>
    <w:link w:val="28"/>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4">
    <w:name w:val="heading 2"/>
    <w:basedOn w:val="1"/>
    <w:next w:val="1"/>
    <w:link w:val="29"/>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5">
    <w:name w:val="heading 3"/>
    <w:basedOn w:val="1"/>
    <w:next w:val="1"/>
    <w:link w:val="30"/>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6">
    <w:name w:val="heading 4"/>
    <w:basedOn w:val="1"/>
    <w:next w:val="1"/>
    <w:link w:val="31"/>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7">
    <w:name w:val="heading 5"/>
    <w:basedOn w:val="1"/>
    <w:next w:val="1"/>
    <w:link w:val="32"/>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8">
    <w:name w:val="heading 6"/>
    <w:basedOn w:val="1"/>
    <w:next w:val="1"/>
    <w:link w:val="33"/>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9">
    <w:name w:val="heading 7"/>
    <w:basedOn w:val="1"/>
    <w:next w:val="1"/>
    <w:link w:val="34"/>
    <w:semiHidden/>
    <w:unhideWhenUsed/>
    <w:qFormat/>
    <w:uiPriority w:val="9"/>
    <w:pPr>
      <w:keepNext/>
      <w:keepLines/>
      <w:spacing w:before="120" w:after="0"/>
      <w:outlineLvl w:val="6"/>
    </w:pPr>
    <w:rPr>
      <w:i/>
      <w:iCs/>
    </w:rPr>
  </w:style>
  <w:style w:type="paragraph" w:styleId="10">
    <w:name w:val="heading 8"/>
    <w:basedOn w:val="1"/>
    <w:next w:val="1"/>
    <w:link w:val="35"/>
    <w:semiHidden/>
    <w:unhideWhenUsed/>
    <w:qFormat/>
    <w:uiPriority w:val="9"/>
    <w:pPr>
      <w:keepNext/>
      <w:keepLines/>
      <w:spacing w:before="120" w:after="0"/>
      <w:outlineLvl w:val="7"/>
    </w:pPr>
    <w:rPr>
      <w:b/>
      <w:bCs/>
    </w:rPr>
  </w:style>
  <w:style w:type="paragraph" w:styleId="11">
    <w:name w:val="heading 9"/>
    <w:basedOn w:val="1"/>
    <w:next w:val="1"/>
    <w:link w:val="36"/>
    <w:semiHidden/>
    <w:unhideWhenUsed/>
    <w:qFormat/>
    <w:uiPriority w:val="9"/>
    <w:pPr>
      <w:keepNext/>
      <w:keepLines/>
      <w:spacing w:before="120" w:after="0"/>
      <w:outlineLvl w:val="8"/>
    </w:pPr>
    <w:rPr>
      <w:i/>
      <w:iCs/>
    </w:rPr>
  </w:style>
  <w:style w:type="character" w:default="1" w:styleId="24">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58"/>
    <w:semiHidden/>
    <w:unhideWhenUsed/>
    <w:qFormat/>
    <w:uiPriority w:val="99"/>
    <w:pPr>
      <w:spacing w:after="120"/>
    </w:pPr>
  </w:style>
  <w:style w:type="paragraph" w:styleId="12">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3">
    <w:name w:val="caption"/>
    <w:basedOn w:val="1"/>
    <w:next w:val="1"/>
    <w:semiHidden/>
    <w:unhideWhenUsed/>
    <w:qFormat/>
    <w:uiPriority w:val="35"/>
    <w:rPr>
      <w:b/>
      <w:bCs/>
      <w:sz w:val="18"/>
      <w:szCs w:val="18"/>
    </w:r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7"/>
    <w:unhideWhenUsed/>
    <w:qFormat/>
    <w:uiPriority w:val="0"/>
    <w:rPr>
      <w:rFonts w:hAnsi="Courier New" w:cs="Courier New" w:asciiTheme="minorEastAsia"/>
    </w:rPr>
  </w:style>
  <w:style w:type="paragraph" w:styleId="16">
    <w:name w:val="footer"/>
    <w:basedOn w:val="1"/>
    <w:link w:val="53"/>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8"/>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7"/>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styleId="27">
    <w:name w:val="Hyperlink"/>
    <w:basedOn w:val="24"/>
    <w:unhideWhenUsed/>
    <w:qFormat/>
    <w:uiPriority w:val="99"/>
    <w:rPr>
      <w:color w:val="F49100" w:themeColor="hyperlink"/>
      <w:u w:val="single"/>
      <w14:textFill>
        <w14:solidFill>
          <w14:schemeClr w14:val="hlink"/>
        </w14:solidFill>
      </w14:textFill>
    </w:rPr>
  </w:style>
  <w:style w:type="character" w:customStyle="1" w:styleId="28">
    <w:name w:val="标题 1 字符"/>
    <w:basedOn w:val="24"/>
    <w:link w:val="3"/>
    <w:qFormat/>
    <w:uiPriority w:val="9"/>
    <w:rPr>
      <w:rFonts w:asciiTheme="majorHAnsi" w:hAnsiTheme="majorHAnsi" w:eastAsiaTheme="majorEastAsia" w:cstheme="majorBidi"/>
      <w:b/>
      <w:bCs/>
      <w:caps/>
      <w:spacing w:val="4"/>
      <w:sz w:val="28"/>
      <w:szCs w:val="28"/>
    </w:rPr>
  </w:style>
  <w:style w:type="character" w:customStyle="1" w:styleId="29">
    <w:name w:val="标题 2 字符"/>
    <w:basedOn w:val="24"/>
    <w:link w:val="4"/>
    <w:semiHidden/>
    <w:qFormat/>
    <w:uiPriority w:val="9"/>
    <w:rPr>
      <w:rFonts w:asciiTheme="majorHAnsi" w:hAnsiTheme="majorHAnsi" w:eastAsiaTheme="majorEastAsia" w:cstheme="majorBidi"/>
      <w:b/>
      <w:bCs/>
      <w:sz w:val="28"/>
      <w:szCs w:val="28"/>
    </w:rPr>
  </w:style>
  <w:style w:type="character" w:customStyle="1" w:styleId="30">
    <w:name w:val="标题 3 字符"/>
    <w:basedOn w:val="24"/>
    <w:link w:val="5"/>
    <w:semiHidden/>
    <w:qFormat/>
    <w:uiPriority w:val="9"/>
    <w:rPr>
      <w:rFonts w:asciiTheme="majorHAnsi" w:hAnsiTheme="majorHAnsi" w:eastAsiaTheme="majorEastAsia" w:cstheme="majorBidi"/>
      <w:spacing w:val="4"/>
      <w:sz w:val="24"/>
      <w:szCs w:val="24"/>
    </w:rPr>
  </w:style>
  <w:style w:type="character" w:customStyle="1" w:styleId="31">
    <w:name w:val="标题 4 字符"/>
    <w:basedOn w:val="24"/>
    <w:link w:val="6"/>
    <w:semiHidden/>
    <w:qFormat/>
    <w:uiPriority w:val="9"/>
    <w:rPr>
      <w:rFonts w:asciiTheme="majorHAnsi" w:hAnsiTheme="majorHAnsi" w:eastAsiaTheme="majorEastAsia" w:cstheme="majorBidi"/>
      <w:i/>
      <w:iCs/>
      <w:sz w:val="24"/>
      <w:szCs w:val="24"/>
    </w:rPr>
  </w:style>
  <w:style w:type="character" w:customStyle="1" w:styleId="32">
    <w:name w:val="标题 5 字符"/>
    <w:basedOn w:val="24"/>
    <w:link w:val="7"/>
    <w:semiHidden/>
    <w:qFormat/>
    <w:uiPriority w:val="9"/>
    <w:rPr>
      <w:rFonts w:asciiTheme="majorHAnsi" w:hAnsiTheme="majorHAnsi" w:eastAsiaTheme="majorEastAsia" w:cstheme="majorBidi"/>
      <w:b/>
      <w:bCs/>
    </w:rPr>
  </w:style>
  <w:style w:type="character" w:customStyle="1" w:styleId="33">
    <w:name w:val="标题 6 字符"/>
    <w:basedOn w:val="24"/>
    <w:link w:val="8"/>
    <w:semiHidden/>
    <w:qFormat/>
    <w:uiPriority w:val="9"/>
    <w:rPr>
      <w:rFonts w:asciiTheme="majorHAnsi" w:hAnsiTheme="majorHAnsi" w:eastAsiaTheme="majorEastAsia" w:cstheme="majorBidi"/>
      <w:b/>
      <w:bCs/>
      <w:i/>
      <w:iCs/>
    </w:rPr>
  </w:style>
  <w:style w:type="character" w:customStyle="1" w:styleId="34">
    <w:name w:val="标题 7 字符"/>
    <w:basedOn w:val="24"/>
    <w:link w:val="9"/>
    <w:semiHidden/>
    <w:qFormat/>
    <w:uiPriority w:val="9"/>
    <w:rPr>
      <w:i/>
      <w:iCs/>
    </w:rPr>
  </w:style>
  <w:style w:type="character" w:customStyle="1" w:styleId="35">
    <w:name w:val="标题 8 字符"/>
    <w:basedOn w:val="24"/>
    <w:link w:val="10"/>
    <w:semiHidden/>
    <w:qFormat/>
    <w:uiPriority w:val="9"/>
    <w:rPr>
      <w:b/>
      <w:bCs/>
    </w:rPr>
  </w:style>
  <w:style w:type="character" w:customStyle="1" w:styleId="36">
    <w:name w:val="标题 9 字符"/>
    <w:basedOn w:val="24"/>
    <w:link w:val="11"/>
    <w:semiHidden/>
    <w:qFormat/>
    <w:uiPriority w:val="9"/>
    <w:rPr>
      <w:i/>
      <w:iCs/>
    </w:rPr>
  </w:style>
  <w:style w:type="character" w:customStyle="1" w:styleId="37">
    <w:name w:val="标题 字符"/>
    <w:basedOn w:val="24"/>
    <w:link w:val="22"/>
    <w:qFormat/>
    <w:uiPriority w:val="10"/>
    <w:rPr>
      <w:rFonts w:asciiTheme="majorHAnsi" w:hAnsiTheme="majorHAnsi" w:eastAsiaTheme="majorEastAsia" w:cstheme="majorBidi"/>
      <w:b/>
      <w:bCs/>
      <w:spacing w:val="-7"/>
      <w:sz w:val="48"/>
      <w:szCs w:val="48"/>
    </w:rPr>
  </w:style>
  <w:style w:type="character" w:customStyle="1" w:styleId="38">
    <w:name w:val="副标题 字符"/>
    <w:basedOn w:val="24"/>
    <w:link w:val="19"/>
    <w:qFormat/>
    <w:uiPriority w:val="11"/>
    <w:rPr>
      <w:rFonts w:asciiTheme="majorHAnsi" w:hAnsiTheme="majorHAnsi" w:eastAsiaTheme="majorEastAsia" w:cstheme="majorBidi"/>
      <w:sz w:val="24"/>
      <w:szCs w:val="24"/>
    </w:rPr>
  </w:style>
  <w:style w:type="paragraph" w:styleId="39">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4"/>
    <w:link w:val="40"/>
    <w:qFormat/>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4"/>
    <w:link w:val="42"/>
    <w:qFormat/>
    <w:uiPriority w:val="30"/>
    <w:rPr>
      <w:rFonts w:asciiTheme="majorHAnsi" w:hAnsiTheme="majorHAnsi" w:eastAsiaTheme="majorEastAsia" w:cstheme="majorBidi"/>
      <w:sz w:val="26"/>
      <w:szCs w:val="26"/>
    </w:rPr>
  </w:style>
  <w:style w:type="character" w:customStyle="1" w:styleId="44">
    <w:name w:val="Subtle Emphasis"/>
    <w:basedOn w:val="24"/>
    <w:qFormat/>
    <w:uiPriority w:val="19"/>
    <w:rPr>
      <w:i/>
      <w:iCs/>
      <w:color w:val="auto"/>
    </w:rPr>
  </w:style>
  <w:style w:type="character" w:customStyle="1" w:styleId="45">
    <w:name w:val="Intense Emphasis"/>
    <w:basedOn w:val="24"/>
    <w:qFormat/>
    <w:uiPriority w:val="21"/>
    <w:rPr>
      <w:b/>
      <w:bCs/>
      <w:i/>
      <w:iCs/>
      <w:color w:val="auto"/>
    </w:rPr>
  </w:style>
  <w:style w:type="character" w:customStyle="1" w:styleId="46">
    <w:name w:val="Subtle Reference"/>
    <w:basedOn w:val="24"/>
    <w:qFormat/>
    <w:uiPriority w:val="31"/>
    <w:rPr>
      <w:smallCaps/>
      <w:color w:val="auto"/>
      <w:u w:val="single" w:color="7E7E7E" w:themeColor="text1" w:themeTint="80"/>
    </w:rPr>
  </w:style>
  <w:style w:type="character" w:customStyle="1" w:styleId="47">
    <w:name w:val="Intense Reference"/>
    <w:basedOn w:val="24"/>
    <w:qFormat/>
    <w:uiPriority w:val="32"/>
    <w:rPr>
      <w:b/>
      <w:bCs/>
      <w:smallCaps/>
      <w:color w:val="auto"/>
      <w:u w:val="single"/>
    </w:rPr>
  </w:style>
  <w:style w:type="character" w:customStyle="1" w:styleId="48">
    <w:name w:val="Book Title"/>
    <w:basedOn w:val="24"/>
    <w:qFormat/>
    <w:uiPriority w:val="33"/>
    <w:rPr>
      <w:b/>
      <w:bCs/>
      <w:smallCaps/>
      <w:color w:val="auto"/>
    </w:rPr>
  </w:style>
  <w:style w:type="paragraph" w:customStyle="1" w:styleId="49">
    <w:name w:val="TOC Heading"/>
    <w:basedOn w:val="3"/>
    <w:next w:val="1"/>
    <w:unhideWhenUsed/>
    <w:qFormat/>
    <w:uiPriority w:val="39"/>
    <w:pPr>
      <w:outlineLvl w:val="9"/>
    </w:pPr>
  </w:style>
  <w:style w:type="character" w:customStyle="1" w:styleId="50">
    <w:name w:val="无间隔 字符"/>
    <w:basedOn w:val="24"/>
    <w:link w:val="39"/>
    <w:qFormat/>
    <w:uiPriority w:val="1"/>
  </w:style>
  <w:style w:type="paragraph" w:customStyle="1" w:styleId="5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4"/>
    <w:link w:val="17"/>
    <w:qFormat/>
    <w:uiPriority w:val="99"/>
    <w:rPr>
      <w:sz w:val="18"/>
      <w:szCs w:val="18"/>
    </w:rPr>
  </w:style>
  <w:style w:type="character" w:customStyle="1" w:styleId="53">
    <w:name w:val="页脚 字符"/>
    <w:basedOn w:val="24"/>
    <w:link w:val="16"/>
    <w:qFormat/>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4"/>
    <w:link w:val="20"/>
    <w:qFormat/>
    <w:uiPriority w:val="0"/>
    <w:rPr>
      <w:rFonts w:ascii="Times New Roman" w:hAnsi="Times New Roman" w:eastAsia="宋体" w:cs="Times New Roman"/>
      <w:kern w:val="2"/>
      <w:sz w:val="16"/>
      <w:szCs w:val="16"/>
    </w:rPr>
  </w:style>
  <w:style w:type="paragraph" w:customStyle="1" w:styleId="56">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4"/>
    <w:link w:val="15"/>
    <w:semiHidden/>
    <w:qFormat/>
    <w:uiPriority w:val="99"/>
    <w:rPr>
      <w:rFonts w:hAnsi="Courier New" w:cs="Courier New" w:asciiTheme="minorEastAsia"/>
    </w:rPr>
  </w:style>
  <w:style w:type="character" w:customStyle="1" w:styleId="58">
    <w:name w:val="正文文本 字符"/>
    <w:basedOn w:val="24"/>
    <w:link w:val="2"/>
    <w:semiHidden/>
    <w:qFormat/>
    <w:uiPriority w:val="99"/>
  </w:style>
  <w:style w:type="character" w:customStyle="1" w:styleId="59">
    <w:name w:val="纯文本 Char"/>
    <w:qFormat/>
    <w:uiPriority w:val="0"/>
    <w:rPr>
      <w:rFonts w:ascii="宋体" w:hAnsi="Courier New" w:eastAsia="宋体"/>
      <w:kern w:val="2"/>
      <w:sz w:val="21"/>
      <w:lang w:val="en-US" w:eastAsia="zh-CN" w:bidi="ar-SA"/>
    </w:rPr>
  </w:style>
  <w:style w:type="paragraph" w:customStyle="1" w:styleId="60">
    <w:name w:val="UserStyle_0"/>
    <w:basedOn w:val="1"/>
    <w:next w:val="1"/>
    <w:qFormat/>
    <w:uiPriority w:val="0"/>
    <w:pPr>
      <w:widowControl/>
      <w:spacing w:after="120" w:line="251" w:lineRule="auto"/>
      <w:textAlignment w:val="baseline"/>
    </w:p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theme" Target="theme/theme1.xml"/><Relationship Id="rId7" Type="http://schemas.openxmlformats.org/officeDocument/2006/relationships/footer" Target="footer1.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png"/><Relationship Id="rId10" Type="http://schemas.openxmlformats.org/officeDocument/2006/relationships/image" Target="media/image4.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8</Pages>
  <Words>474</Words>
  <Characters>2706</Characters>
  <Lines>22</Lines>
  <Paragraphs>6</Paragraphs>
  <TotalTime>21</TotalTime>
  <ScaleCrop>false</ScaleCrop>
  <LinksUpToDate>false</LinksUpToDate>
  <CharactersWithSpaces>3174</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2026-01-07T07:55:04Z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